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D25D1" w14:textId="64871F33" w:rsidR="005722DA" w:rsidRPr="005722DA" w:rsidRDefault="005722DA" w:rsidP="005722DA">
      <w:pPr>
        <w:jc w:val="right"/>
        <w:rPr>
          <w:sz w:val="28"/>
          <w:szCs w:val="28"/>
        </w:rPr>
      </w:pPr>
      <w:bookmarkStart w:id="0" w:name="_GoBack"/>
      <w:bookmarkEnd w:id="0"/>
      <w:r w:rsidRPr="005722DA">
        <w:rPr>
          <w:sz w:val="28"/>
          <w:szCs w:val="28"/>
        </w:rPr>
        <w:t>ПРОЕКТ</w:t>
      </w:r>
    </w:p>
    <w:p w14:paraId="77F09B6A" w14:textId="77777777" w:rsidR="005722DA" w:rsidRPr="005722DA" w:rsidRDefault="005722DA" w:rsidP="005722DA">
      <w:pPr>
        <w:ind w:left="5245" w:firstLine="0"/>
        <w:rPr>
          <w:sz w:val="28"/>
          <w:szCs w:val="28"/>
        </w:rPr>
      </w:pPr>
    </w:p>
    <w:p w14:paraId="2EC4E4BC" w14:textId="7D6FA3D0" w:rsidR="005722DA" w:rsidRDefault="000D26C2" w:rsidP="005722DA">
      <w:pPr>
        <w:ind w:left="5245" w:firstLine="0"/>
        <w:jc w:val="left"/>
        <w:rPr>
          <w:b/>
          <w:sz w:val="28"/>
          <w:szCs w:val="28"/>
        </w:rPr>
      </w:pPr>
      <w:r>
        <w:rPr>
          <w:b/>
          <w:sz w:val="28"/>
          <w:szCs w:val="28"/>
        </w:rPr>
        <w:t>Председателю Комитета</w:t>
      </w:r>
      <w:r>
        <w:rPr>
          <w:b/>
          <w:sz w:val="28"/>
          <w:szCs w:val="28"/>
        </w:rPr>
        <w:br/>
        <w:t>Государственной Думы</w:t>
      </w:r>
      <w:r>
        <w:rPr>
          <w:b/>
          <w:sz w:val="28"/>
          <w:szCs w:val="28"/>
        </w:rPr>
        <w:br/>
        <w:t>Федерального Собрания</w:t>
      </w:r>
      <w:r>
        <w:rPr>
          <w:b/>
          <w:sz w:val="28"/>
          <w:szCs w:val="28"/>
        </w:rPr>
        <w:br/>
        <w:t>Российской Федерации</w:t>
      </w:r>
      <w:r>
        <w:rPr>
          <w:b/>
          <w:sz w:val="28"/>
          <w:szCs w:val="28"/>
        </w:rPr>
        <w:br/>
        <w:t>по бюджету и налогам</w:t>
      </w:r>
    </w:p>
    <w:p w14:paraId="5BF03893" w14:textId="77777777" w:rsidR="005722DA" w:rsidRPr="005722DA" w:rsidRDefault="005722DA" w:rsidP="005722DA">
      <w:pPr>
        <w:ind w:left="5245" w:firstLine="0"/>
        <w:jc w:val="left"/>
        <w:rPr>
          <w:b/>
          <w:sz w:val="28"/>
          <w:szCs w:val="28"/>
        </w:rPr>
      </w:pPr>
    </w:p>
    <w:p w14:paraId="619C91BD" w14:textId="44CBAB2B" w:rsidR="005722DA" w:rsidRDefault="000D26C2" w:rsidP="005722DA">
      <w:pPr>
        <w:ind w:left="5245" w:firstLine="0"/>
        <w:jc w:val="left"/>
        <w:rPr>
          <w:b/>
          <w:sz w:val="28"/>
          <w:szCs w:val="28"/>
        </w:rPr>
      </w:pPr>
      <w:r>
        <w:rPr>
          <w:b/>
          <w:sz w:val="28"/>
          <w:szCs w:val="28"/>
        </w:rPr>
        <w:t>МАКАРОВУ</w:t>
      </w:r>
      <w:r w:rsidRPr="000D26C2">
        <w:rPr>
          <w:b/>
          <w:sz w:val="28"/>
          <w:szCs w:val="28"/>
        </w:rPr>
        <w:t xml:space="preserve"> </w:t>
      </w:r>
      <w:r>
        <w:rPr>
          <w:b/>
          <w:sz w:val="28"/>
          <w:szCs w:val="28"/>
        </w:rPr>
        <w:t>А.М.</w:t>
      </w:r>
    </w:p>
    <w:p w14:paraId="62887020" w14:textId="77777777" w:rsidR="00A62D8C" w:rsidRDefault="00A62D8C" w:rsidP="005722DA">
      <w:pPr>
        <w:ind w:left="5245" w:firstLine="0"/>
        <w:jc w:val="left"/>
        <w:rPr>
          <w:b/>
          <w:sz w:val="28"/>
          <w:szCs w:val="28"/>
        </w:rPr>
      </w:pPr>
    </w:p>
    <w:p w14:paraId="2B2AEC68" w14:textId="77777777" w:rsidR="00A62D8C" w:rsidRDefault="00A62D8C" w:rsidP="005722DA">
      <w:pPr>
        <w:ind w:left="5245" w:firstLine="0"/>
        <w:jc w:val="left"/>
        <w:rPr>
          <w:b/>
          <w:sz w:val="28"/>
          <w:szCs w:val="28"/>
        </w:rPr>
      </w:pPr>
    </w:p>
    <w:p w14:paraId="27427443" w14:textId="3DD7A243" w:rsidR="00A62D8C" w:rsidRPr="00A62D8C" w:rsidRDefault="00A62D8C" w:rsidP="005722DA">
      <w:pPr>
        <w:ind w:left="5245" w:firstLine="0"/>
        <w:jc w:val="left"/>
        <w:rPr>
          <w:sz w:val="28"/>
          <w:szCs w:val="28"/>
          <w:u w:val="single"/>
        </w:rPr>
      </w:pPr>
      <w:r w:rsidRPr="00A62D8C">
        <w:rPr>
          <w:sz w:val="28"/>
          <w:szCs w:val="28"/>
          <w:u w:val="single"/>
        </w:rPr>
        <w:t>Копия:</w:t>
      </w:r>
    </w:p>
    <w:p w14:paraId="1478BA83" w14:textId="34A73343" w:rsidR="00A62D8C" w:rsidRPr="00A62D8C" w:rsidRDefault="00A62D8C" w:rsidP="005722DA">
      <w:pPr>
        <w:ind w:left="5245" w:firstLine="0"/>
        <w:jc w:val="left"/>
        <w:rPr>
          <w:sz w:val="28"/>
          <w:szCs w:val="28"/>
        </w:rPr>
      </w:pPr>
      <w:r w:rsidRPr="00A62D8C">
        <w:rPr>
          <w:sz w:val="28"/>
          <w:szCs w:val="28"/>
        </w:rPr>
        <w:t>Министру юстиции</w:t>
      </w:r>
      <w:r w:rsidRPr="00A62D8C">
        <w:rPr>
          <w:sz w:val="28"/>
          <w:szCs w:val="28"/>
        </w:rPr>
        <w:br/>
        <w:t>Российской Федерации</w:t>
      </w:r>
    </w:p>
    <w:p w14:paraId="6187DFF2" w14:textId="77777777" w:rsidR="00A62D8C" w:rsidRPr="00A62D8C" w:rsidRDefault="00A62D8C" w:rsidP="005722DA">
      <w:pPr>
        <w:ind w:left="5245" w:firstLine="0"/>
        <w:jc w:val="left"/>
        <w:rPr>
          <w:sz w:val="28"/>
          <w:szCs w:val="28"/>
        </w:rPr>
      </w:pPr>
    </w:p>
    <w:p w14:paraId="0D665DD8" w14:textId="5283EDDE" w:rsidR="00A62D8C" w:rsidRPr="00A62D8C" w:rsidRDefault="00A62D8C" w:rsidP="005722DA">
      <w:pPr>
        <w:ind w:left="5245" w:firstLine="0"/>
        <w:jc w:val="left"/>
        <w:rPr>
          <w:sz w:val="28"/>
          <w:szCs w:val="28"/>
        </w:rPr>
      </w:pPr>
      <w:r w:rsidRPr="00A62D8C">
        <w:rPr>
          <w:sz w:val="28"/>
          <w:szCs w:val="28"/>
        </w:rPr>
        <w:t>ЧУЙЧЕНКО К.А.</w:t>
      </w:r>
    </w:p>
    <w:p w14:paraId="5A8EA812" w14:textId="77777777" w:rsidR="005722DA" w:rsidRDefault="005722DA" w:rsidP="005722DA">
      <w:pPr>
        <w:ind w:left="5245" w:firstLine="0"/>
        <w:jc w:val="left"/>
        <w:rPr>
          <w:b/>
          <w:sz w:val="28"/>
          <w:szCs w:val="28"/>
        </w:rPr>
      </w:pPr>
    </w:p>
    <w:p w14:paraId="696015BA" w14:textId="77777777" w:rsidR="005722DA" w:rsidRDefault="005722DA" w:rsidP="005722DA">
      <w:pPr>
        <w:ind w:left="5245" w:firstLine="0"/>
        <w:jc w:val="left"/>
        <w:rPr>
          <w:b/>
          <w:sz w:val="28"/>
          <w:szCs w:val="28"/>
        </w:rPr>
      </w:pPr>
    </w:p>
    <w:p w14:paraId="5A6B43C0" w14:textId="77777777" w:rsidR="005722DA" w:rsidRPr="005722DA" w:rsidRDefault="005722DA" w:rsidP="005722DA">
      <w:pPr>
        <w:ind w:left="5245" w:firstLine="0"/>
        <w:jc w:val="left"/>
        <w:rPr>
          <w:b/>
          <w:sz w:val="28"/>
          <w:szCs w:val="28"/>
        </w:rPr>
      </w:pPr>
    </w:p>
    <w:p w14:paraId="06367503" w14:textId="5C7B1920" w:rsidR="005722DA" w:rsidRDefault="005722DA" w:rsidP="005722DA">
      <w:pPr>
        <w:ind w:firstLine="0"/>
        <w:jc w:val="center"/>
        <w:rPr>
          <w:sz w:val="28"/>
          <w:szCs w:val="28"/>
        </w:rPr>
      </w:pPr>
      <w:r w:rsidRPr="005722DA">
        <w:rPr>
          <w:sz w:val="28"/>
          <w:szCs w:val="28"/>
        </w:rPr>
        <w:t xml:space="preserve">Уважаемый </w:t>
      </w:r>
      <w:r w:rsidR="000D26C2">
        <w:rPr>
          <w:sz w:val="28"/>
          <w:szCs w:val="28"/>
        </w:rPr>
        <w:t>Андрей Михайлович</w:t>
      </w:r>
      <w:r w:rsidRPr="005722DA">
        <w:rPr>
          <w:sz w:val="28"/>
          <w:szCs w:val="28"/>
        </w:rPr>
        <w:t>!</w:t>
      </w:r>
    </w:p>
    <w:p w14:paraId="262E5E9B" w14:textId="77777777" w:rsidR="005722DA" w:rsidRPr="005722DA" w:rsidRDefault="005722DA" w:rsidP="005722DA">
      <w:pPr>
        <w:ind w:firstLine="0"/>
        <w:jc w:val="center"/>
        <w:rPr>
          <w:sz w:val="28"/>
          <w:szCs w:val="28"/>
        </w:rPr>
      </w:pPr>
    </w:p>
    <w:p w14:paraId="40BCCA7A" w14:textId="77777777" w:rsidR="005722DA" w:rsidRPr="005722DA" w:rsidRDefault="005722DA" w:rsidP="00CF1300">
      <w:pPr>
        <w:rPr>
          <w:sz w:val="28"/>
          <w:szCs w:val="28"/>
        </w:rPr>
      </w:pPr>
    </w:p>
    <w:p w14:paraId="25B08E5A" w14:textId="221C6AC7" w:rsidR="005722DA" w:rsidRDefault="005722DA" w:rsidP="005722DA">
      <w:pPr>
        <w:spacing w:line="360" w:lineRule="auto"/>
        <w:rPr>
          <w:sz w:val="28"/>
          <w:szCs w:val="28"/>
        </w:rPr>
      </w:pPr>
      <w:r>
        <w:rPr>
          <w:sz w:val="28"/>
          <w:szCs w:val="28"/>
        </w:rPr>
        <w:t xml:space="preserve">Адвокатская палата города Москвы направляет в адрес </w:t>
      </w:r>
      <w:r w:rsidR="000D26C2">
        <w:rPr>
          <w:sz w:val="28"/>
          <w:szCs w:val="28"/>
        </w:rPr>
        <w:t>Комитета Государственной Думы Федерального Собрания Российской Федерации</w:t>
      </w:r>
      <w:r>
        <w:rPr>
          <w:sz w:val="28"/>
          <w:szCs w:val="28"/>
        </w:rPr>
        <w:t xml:space="preserve"> отзыв на проект федерального закона</w:t>
      </w:r>
      <w:r w:rsidR="000D26C2">
        <w:rPr>
          <w:sz w:val="28"/>
          <w:szCs w:val="28"/>
        </w:rPr>
        <w:t xml:space="preserve"> № 1026190-8</w:t>
      </w:r>
      <w:r>
        <w:rPr>
          <w:sz w:val="28"/>
          <w:szCs w:val="28"/>
        </w:rPr>
        <w:t xml:space="preserve"> «О </w:t>
      </w:r>
      <w:r w:rsidRPr="005722DA">
        <w:rPr>
          <w:sz w:val="28"/>
          <w:szCs w:val="28"/>
        </w:rPr>
        <w:t>внесении изменений в части первую и вторую Налогового кодекса Российской Федерации и отдельные законодательные акты Российской Федерации</w:t>
      </w:r>
      <w:r>
        <w:rPr>
          <w:sz w:val="28"/>
          <w:szCs w:val="28"/>
        </w:rPr>
        <w:t xml:space="preserve">», </w:t>
      </w:r>
      <w:r w:rsidR="000D26C2">
        <w:rPr>
          <w:sz w:val="28"/>
          <w:szCs w:val="28"/>
        </w:rPr>
        <w:t>внесенный Правительством Российской Федерации</w:t>
      </w:r>
      <w:r>
        <w:rPr>
          <w:sz w:val="28"/>
          <w:szCs w:val="28"/>
        </w:rPr>
        <w:t>.</w:t>
      </w:r>
    </w:p>
    <w:p w14:paraId="233A7F9E" w14:textId="77777777" w:rsidR="005722DA" w:rsidRDefault="005722DA" w:rsidP="005722DA">
      <w:pPr>
        <w:spacing w:line="360" w:lineRule="auto"/>
        <w:rPr>
          <w:sz w:val="28"/>
          <w:szCs w:val="28"/>
        </w:rPr>
      </w:pPr>
    </w:p>
    <w:p w14:paraId="163E9A35" w14:textId="09F7FA2B" w:rsidR="005722DA" w:rsidRDefault="005722DA" w:rsidP="005722DA">
      <w:pPr>
        <w:spacing w:line="360" w:lineRule="auto"/>
        <w:rPr>
          <w:sz w:val="28"/>
          <w:szCs w:val="28"/>
        </w:rPr>
      </w:pPr>
      <w:r>
        <w:rPr>
          <w:sz w:val="28"/>
          <w:szCs w:val="28"/>
        </w:rPr>
        <w:t xml:space="preserve">Приложение: отзыв на </w:t>
      </w:r>
      <w:r w:rsidR="00A821E3" w:rsidRPr="00721EDB">
        <w:rPr>
          <w:sz w:val="28"/>
          <w:szCs w:val="28"/>
        </w:rPr>
        <w:t>3</w:t>
      </w:r>
      <w:r>
        <w:rPr>
          <w:sz w:val="28"/>
          <w:szCs w:val="28"/>
        </w:rPr>
        <w:t xml:space="preserve"> л.</w:t>
      </w:r>
    </w:p>
    <w:p w14:paraId="3FC80D07" w14:textId="77777777" w:rsidR="005722DA" w:rsidRDefault="005722DA" w:rsidP="00CF1300">
      <w:pPr>
        <w:rPr>
          <w:sz w:val="28"/>
          <w:szCs w:val="28"/>
        </w:rPr>
      </w:pPr>
    </w:p>
    <w:p w14:paraId="75ACDEA7" w14:textId="6081341D" w:rsidR="005722DA" w:rsidRDefault="005722DA" w:rsidP="00CF1300">
      <w:pPr>
        <w:rPr>
          <w:sz w:val="28"/>
          <w:szCs w:val="28"/>
        </w:rPr>
      </w:pPr>
    </w:p>
    <w:p w14:paraId="57B9183F" w14:textId="2A0C78EB" w:rsidR="005722DA" w:rsidRDefault="005722DA" w:rsidP="00CF1300">
      <w:pPr>
        <w:rPr>
          <w:sz w:val="28"/>
          <w:szCs w:val="28"/>
        </w:rPr>
      </w:pPr>
      <w:r>
        <w:rPr>
          <w:sz w:val="28"/>
          <w:szCs w:val="28"/>
        </w:rPr>
        <w:t>Президент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С.Б. Зубков</w:t>
      </w:r>
      <w:r>
        <w:rPr>
          <w:sz w:val="28"/>
          <w:szCs w:val="28"/>
        </w:rPr>
        <w:br w:type="page"/>
      </w:r>
    </w:p>
    <w:p w14:paraId="3B87A16B" w14:textId="15A4D764" w:rsidR="005722DA" w:rsidRDefault="005722DA" w:rsidP="00A62D8C">
      <w:pPr>
        <w:ind w:firstLine="0"/>
        <w:jc w:val="center"/>
        <w:rPr>
          <w:sz w:val="28"/>
          <w:szCs w:val="28"/>
        </w:rPr>
      </w:pPr>
      <w:r>
        <w:rPr>
          <w:sz w:val="28"/>
          <w:szCs w:val="28"/>
        </w:rPr>
        <w:lastRenderedPageBreak/>
        <w:t>ОТЗЫВ</w:t>
      </w:r>
    </w:p>
    <w:p w14:paraId="6FE7E759" w14:textId="3D71A7C0" w:rsidR="005722DA" w:rsidRDefault="005722DA" w:rsidP="00A62D8C">
      <w:pPr>
        <w:ind w:firstLine="0"/>
        <w:jc w:val="center"/>
        <w:rPr>
          <w:sz w:val="28"/>
          <w:szCs w:val="28"/>
        </w:rPr>
      </w:pPr>
      <w:r>
        <w:rPr>
          <w:sz w:val="28"/>
          <w:szCs w:val="28"/>
        </w:rPr>
        <w:t>на проект федерального закона</w:t>
      </w:r>
      <w:r w:rsidR="000D26C2">
        <w:rPr>
          <w:sz w:val="28"/>
          <w:szCs w:val="28"/>
        </w:rPr>
        <w:t xml:space="preserve"> № 1026190-8</w:t>
      </w:r>
    </w:p>
    <w:p w14:paraId="64524056" w14:textId="744CAB3C" w:rsidR="005722DA" w:rsidRDefault="00A62D8C" w:rsidP="00A62D8C">
      <w:pPr>
        <w:ind w:firstLine="0"/>
        <w:jc w:val="center"/>
        <w:rPr>
          <w:sz w:val="28"/>
          <w:szCs w:val="28"/>
        </w:rPr>
      </w:pPr>
      <w:r>
        <w:rPr>
          <w:sz w:val="28"/>
          <w:szCs w:val="28"/>
        </w:rPr>
        <w:t>«</w:t>
      </w:r>
      <w:r w:rsidR="005722DA" w:rsidRPr="005722DA">
        <w:rPr>
          <w:sz w:val="28"/>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w:t>
      </w:r>
      <w:r>
        <w:rPr>
          <w:sz w:val="28"/>
          <w:szCs w:val="28"/>
        </w:rPr>
        <w:t>»</w:t>
      </w:r>
    </w:p>
    <w:p w14:paraId="46129957" w14:textId="77777777" w:rsidR="005722DA" w:rsidRPr="005722DA" w:rsidRDefault="005722DA" w:rsidP="00CF1300">
      <w:pPr>
        <w:rPr>
          <w:sz w:val="28"/>
          <w:szCs w:val="28"/>
        </w:rPr>
      </w:pPr>
    </w:p>
    <w:p w14:paraId="10A15968" w14:textId="7A237433" w:rsidR="006011D6" w:rsidRDefault="00A62D8C" w:rsidP="00A62D8C">
      <w:pPr>
        <w:rPr>
          <w:sz w:val="28"/>
          <w:szCs w:val="28"/>
        </w:rPr>
      </w:pPr>
      <w:r>
        <w:rPr>
          <w:sz w:val="28"/>
          <w:szCs w:val="28"/>
        </w:rPr>
        <w:t xml:space="preserve">Адвокатская палата города Москвы рассмотрела </w:t>
      </w:r>
      <w:r w:rsidR="000D26C2">
        <w:rPr>
          <w:sz w:val="28"/>
          <w:szCs w:val="28"/>
        </w:rPr>
        <w:t>внесенный Правительством</w:t>
      </w:r>
      <w:r>
        <w:rPr>
          <w:sz w:val="28"/>
          <w:szCs w:val="28"/>
        </w:rPr>
        <w:t xml:space="preserve"> РФ проект федерального закона</w:t>
      </w:r>
      <w:r w:rsidR="000D26C2">
        <w:rPr>
          <w:sz w:val="28"/>
          <w:szCs w:val="28"/>
        </w:rPr>
        <w:t xml:space="preserve"> № 1026190-8</w:t>
      </w:r>
      <w:r>
        <w:rPr>
          <w:sz w:val="28"/>
          <w:szCs w:val="28"/>
        </w:rPr>
        <w:t xml:space="preserve"> «О </w:t>
      </w:r>
      <w:r w:rsidR="00CF1300" w:rsidRPr="005722DA">
        <w:rPr>
          <w:sz w:val="28"/>
          <w:szCs w:val="28"/>
        </w:rPr>
        <w:t>внесении изменений в части первую и вторую Налогового кодекса Российской Федерации и отдельные законодательные акты Российской Федерации</w:t>
      </w:r>
      <w:r>
        <w:rPr>
          <w:sz w:val="28"/>
          <w:szCs w:val="28"/>
        </w:rPr>
        <w:t>»</w:t>
      </w:r>
      <w:r w:rsidR="00CF1300" w:rsidRPr="005722DA">
        <w:rPr>
          <w:sz w:val="28"/>
          <w:szCs w:val="28"/>
        </w:rPr>
        <w:t>.</w:t>
      </w:r>
    </w:p>
    <w:p w14:paraId="48F1BD47" w14:textId="0B51993D" w:rsidR="00A62D8C" w:rsidRDefault="00A62D8C" w:rsidP="00A62D8C">
      <w:pPr>
        <w:rPr>
          <w:sz w:val="28"/>
          <w:szCs w:val="28"/>
        </w:rPr>
      </w:pPr>
      <w:r>
        <w:rPr>
          <w:sz w:val="28"/>
          <w:szCs w:val="28"/>
        </w:rPr>
        <w:t>Законопроект направлен на в</w:t>
      </w:r>
      <w:r w:rsidRPr="00A62D8C">
        <w:rPr>
          <w:sz w:val="28"/>
          <w:szCs w:val="28"/>
        </w:rPr>
        <w:t>несение уточняющих изменений в Налоговый кодекс Российской Федерации в части налогового администрирования, налога на добавленную стоимость, акциз</w:t>
      </w:r>
      <w:r>
        <w:rPr>
          <w:sz w:val="28"/>
          <w:szCs w:val="28"/>
        </w:rPr>
        <w:t>ов</w:t>
      </w:r>
      <w:r w:rsidRPr="00A62D8C">
        <w:rPr>
          <w:sz w:val="28"/>
          <w:szCs w:val="28"/>
        </w:rPr>
        <w:t>, налога на доходы физических лиц, налога на прибыль организаций, водного налога, государственной пошлины, налога на дополнительный доход от добычи углеводородного сырья, налога на добычу полезных ископаемых, специальных налоговых режимов, имущественных налогов, туристического налога и страховых взносов</w:t>
      </w:r>
      <w:r>
        <w:rPr>
          <w:sz w:val="28"/>
          <w:szCs w:val="28"/>
        </w:rPr>
        <w:t>.</w:t>
      </w:r>
    </w:p>
    <w:p w14:paraId="7275E5E8" w14:textId="512BC3C8" w:rsidR="00A62D8C" w:rsidRPr="005722DA" w:rsidRDefault="00A62D8C" w:rsidP="00A62D8C">
      <w:pPr>
        <w:rPr>
          <w:sz w:val="28"/>
          <w:szCs w:val="28"/>
        </w:rPr>
      </w:pPr>
      <w:r>
        <w:rPr>
          <w:sz w:val="28"/>
          <w:szCs w:val="28"/>
        </w:rPr>
        <w:t xml:space="preserve">В частности, соответствующий законопроект </w:t>
      </w:r>
      <w:r w:rsidRPr="005722DA">
        <w:rPr>
          <w:sz w:val="28"/>
          <w:szCs w:val="28"/>
        </w:rPr>
        <w:t>предполагает дополнение п. 1 ст. 90 НК РФ (</w:t>
      </w:r>
      <w:r>
        <w:rPr>
          <w:sz w:val="28"/>
          <w:szCs w:val="28"/>
        </w:rPr>
        <w:t>«</w:t>
      </w:r>
      <w:r w:rsidRPr="005722DA">
        <w:rPr>
          <w:sz w:val="28"/>
          <w:szCs w:val="28"/>
        </w:rPr>
        <w:t>Участие свидетеля</w:t>
      </w:r>
      <w:r>
        <w:rPr>
          <w:sz w:val="28"/>
          <w:szCs w:val="28"/>
        </w:rPr>
        <w:t>»</w:t>
      </w:r>
      <w:r w:rsidRPr="005722DA">
        <w:rPr>
          <w:sz w:val="28"/>
          <w:szCs w:val="28"/>
        </w:rPr>
        <w:t>) абзацем</w:t>
      </w:r>
      <w:r>
        <w:rPr>
          <w:sz w:val="28"/>
          <w:szCs w:val="28"/>
        </w:rPr>
        <w:t xml:space="preserve"> следующего содержания</w:t>
      </w:r>
      <w:r w:rsidRPr="005722DA">
        <w:rPr>
          <w:sz w:val="28"/>
          <w:szCs w:val="28"/>
        </w:rPr>
        <w:t>:</w:t>
      </w:r>
    </w:p>
    <w:p w14:paraId="3001DC4F" w14:textId="2A1F791E" w:rsidR="00A62D8C" w:rsidRPr="00CD2C84" w:rsidRDefault="00A62D8C" w:rsidP="00A62D8C">
      <w:pPr>
        <w:rPr>
          <w:rStyle w:val="pt-a0"/>
          <w:sz w:val="28"/>
          <w:szCs w:val="28"/>
        </w:rPr>
      </w:pPr>
      <w:r w:rsidRPr="00CD2C84">
        <w:rPr>
          <w:rStyle w:val="pt-a0"/>
          <w:sz w:val="28"/>
          <w:szCs w:val="28"/>
        </w:rPr>
        <w:t>«</w:t>
      </w:r>
      <w:r w:rsidR="00CD2C84" w:rsidRPr="00CD2C84">
        <w:rPr>
          <w:sz w:val="28"/>
          <w:szCs w:val="28"/>
        </w:rPr>
        <w:t xml:space="preserve">Уведомление о вызове для дачи показаний может быть передано физическому лицу (его законному или уполномоченному представителю) лично под расписку, направлено по почте заказным письмом, передано </w:t>
      </w:r>
      <w:r w:rsidR="00CD2C84" w:rsidRPr="00CD2C84">
        <w:rPr>
          <w:sz w:val="28"/>
          <w:szCs w:val="28"/>
        </w:rPr>
        <w:br/>
        <w:t xml:space="preserve">в электронной форме по телекоммуникационным каналам связи </w:t>
      </w:r>
      <w:r w:rsidR="00CD2C84" w:rsidRPr="00CD2C84">
        <w:rPr>
          <w:sz w:val="28"/>
          <w:szCs w:val="28"/>
        </w:rPr>
        <w:br/>
        <w:t xml:space="preserve">или через личный кабинет налогоплательщика, а также может быть передано физическому лицу в электронной форме через личный кабинет </w:t>
      </w:r>
      <w:r w:rsidR="00CD2C84" w:rsidRPr="00CD2C84">
        <w:rPr>
          <w:sz w:val="28"/>
          <w:szCs w:val="28"/>
        </w:rPr>
        <w:br/>
        <w:t>на едином портале государственных и муниципальных услуг.</w:t>
      </w:r>
      <w:r w:rsidRPr="00CD2C84">
        <w:rPr>
          <w:rStyle w:val="pt-a0"/>
          <w:sz w:val="28"/>
          <w:szCs w:val="28"/>
        </w:rPr>
        <w:t>».</w:t>
      </w:r>
    </w:p>
    <w:p w14:paraId="67C8BC65" w14:textId="719B3336" w:rsidR="00134271" w:rsidRDefault="00134271" w:rsidP="00A62D8C">
      <w:pPr>
        <w:rPr>
          <w:rStyle w:val="pt-a0"/>
          <w:sz w:val="28"/>
          <w:szCs w:val="28"/>
        </w:rPr>
      </w:pPr>
      <w:r>
        <w:rPr>
          <w:rStyle w:val="pt-a0"/>
          <w:sz w:val="28"/>
          <w:szCs w:val="28"/>
        </w:rPr>
        <w:t>Указанная проектируемая норма затрагивает интересы адвокатского сообщества, поскольку соответствующими уполномоченными представителями свидетелей по НК РФ зачастую являются адвокаты.</w:t>
      </w:r>
    </w:p>
    <w:p w14:paraId="6BDFAB8B" w14:textId="05781D09" w:rsidR="00A62D8C" w:rsidRDefault="00A62D8C" w:rsidP="00A62D8C">
      <w:pPr>
        <w:rPr>
          <w:b/>
          <w:sz w:val="28"/>
          <w:szCs w:val="28"/>
        </w:rPr>
      </w:pPr>
      <w:r>
        <w:rPr>
          <w:b/>
          <w:sz w:val="28"/>
          <w:szCs w:val="28"/>
        </w:rPr>
        <w:t xml:space="preserve">Адвокатская палата города Москвы полагает необоснованным предложение редакции статьи, </w:t>
      </w:r>
      <w:r w:rsidR="0060114D">
        <w:rPr>
          <w:b/>
          <w:sz w:val="28"/>
          <w:szCs w:val="28"/>
        </w:rPr>
        <w:t>предусматривающей</w:t>
      </w:r>
      <w:r>
        <w:rPr>
          <w:b/>
          <w:sz w:val="28"/>
          <w:szCs w:val="28"/>
        </w:rPr>
        <w:t xml:space="preserve"> возможность вручения уведомлений о вызове для дачи показаний представителям свидетеля,</w:t>
      </w:r>
      <w:r w:rsidR="0060114D">
        <w:rPr>
          <w:b/>
          <w:sz w:val="28"/>
          <w:szCs w:val="28"/>
        </w:rPr>
        <w:t xml:space="preserve"> являющимся адвокатами,</w:t>
      </w:r>
      <w:r>
        <w:rPr>
          <w:b/>
          <w:sz w:val="28"/>
          <w:szCs w:val="28"/>
        </w:rPr>
        <w:t xml:space="preserve"> и предлагает </w:t>
      </w:r>
      <w:r w:rsidR="0060114D">
        <w:rPr>
          <w:b/>
          <w:sz w:val="28"/>
          <w:szCs w:val="28"/>
        </w:rPr>
        <w:t>скорректировать</w:t>
      </w:r>
      <w:r>
        <w:rPr>
          <w:b/>
          <w:sz w:val="28"/>
          <w:szCs w:val="28"/>
        </w:rPr>
        <w:t xml:space="preserve"> соответствующую </w:t>
      </w:r>
      <w:r w:rsidR="00ED2D07">
        <w:rPr>
          <w:b/>
          <w:sz w:val="28"/>
          <w:szCs w:val="28"/>
        </w:rPr>
        <w:t>проектируемую норму</w:t>
      </w:r>
      <w:r>
        <w:rPr>
          <w:b/>
          <w:sz w:val="28"/>
          <w:szCs w:val="28"/>
        </w:rPr>
        <w:t xml:space="preserve"> </w:t>
      </w:r>
      <w:r w:rsidR="0060114D">
        <w:rPr>
          <w:b/>
          <w:sz w:val="28"/>
          <w:szCs w:val="28"/>
        </w:rPr>
        <w:t>в тексте</w:t>
      </w:r>
      <w:r>
        <w:rPr>
          <w:b/>
          <w:sz w:val="28"/>
          <w:szCs w:val="28"/>
        </w:rPr>
        <w:t xml:space="preserve"> законопроекта. </w:t>
      </w:r>
    </w:p>
    <w:p w14:paraId="73D571F0" w14:textId="36C0ED9B" w:rsidR="0060114D" w:rsidRPr="0060114D" w:rsidRDefault="00134271" w:rsidP="0060114D">
      <w:pPr>
        <w:rPr>
          <w:sz w:val="28"/>
          <w:szCs w:val="28"/>
        </w:rPr>
      </w:pPr>
      <w:r>
        <w:rPr>
          <w:rStyle w:val="pt-a0"/>
          <w:sz w:val="28"/>
          <w:szCs w:val="28"/>
        </w:rPr>
        <w:t>Наделение уполномоченного представителя свидетеля</w:t>
      </w:r>
      <w:r w:rsidR="0060114D">
        <w:rPr>
          <w:rStyle w:val="pt-a0"/>
          <w:sz w:val="28"/>
          <w:szCs w:val="28"/>
        </w:rPr>
        <w:t>, являющегося адвокатом,</w:t>
      </w:r>
      <w:r>
        <w:rPr>
          <w:rStyle w:val="pt-a0"/>
          <w:sz w:val="28"/>
          <w:szCs w:val="28"/>
        </w:rPr>
        <w:t xml:space="preserve"> функциями (обязанностями) по извещению свидетеля</w:t>
      </w:r>
      <w:r w:rsidR="0060114D">
        <w:rPr>
          <w:rStyle w:val="pt-a0"/>
          <w:sz w:val="28"/>
          <w:szCs w:val="28"/>
        </w:rPr>
        <w:t xml:space="preserve"> от имени и в интересах налогового органа</w:t>
      </w:r>
      <w:r>
        <w:rPr>
          <w:rStyle w:val="pt-a0"/>
          <w:sz w:val="28"/>
          <w:szCs w:val="28"/>
        </w:rPr>
        <w:t xml:space="preserve"> противоречит </w:t>
      </w:r>
      <w:r w:rsidR="0060114D">
        <w:rPr>
          <w:rStyle w:val="pt-a0"/>
          <w:sz w:val="28"/>
          <w:szCs w:val="28"/>
        </w:rPr>
        <w:t>содержанию и принципам адвокатской деятельности</w:t>
      </w:r>
      <w:r>
        <w:rPr>
          <w:rStyle w:val="pt-a0"/>
          <w:sz w:val="28"/>
          <w:szCs w:val="28"/>
        </w:rPr>
        <w:t xml:space="preserve">. </w:t>
      </w:r>
      <w:r w:rsidR="0060114D" w:rsidRPr="0060114D">
        <w:rPr>
          <w:sz w:val="28"/>
          <w:szCs w:val="28"/>
        </w:rPr>
        <w:t xml:space="preserve">Содействие государственным органам в извещении лиц в принципе не может входить в предмет деятельности </w:t>
      </w:r>
      <w:r w:rsidR="0060114D">
        <w:rPr>
          <w:sz w:val="28"/>
          <w:szCs w:val="28"/>
        </w:rPr>
        <w:t>адвокатов</w:t>
      </w:r>
      <w:r w:rsidR="0060114D" w:rsidRPr="0060114D">
        <w:rPr>
          <w:sz w:val="28"/>
          <w:szCs w:val="28"/>
        </w:rPr>
        <w:t>, поскольку создает конфликт интересов и нарушает прав</w:t>
      </w:r>
      <w:r w:rsidR="00A821E3">
        <w:rPr>
          <w:sz w:val="28"/>
          <w:szCs w:val="28"/>
        </w:rPr>
        <w:t>а физических лиц</w:t>
      </w:r>
      <w:r w:rsidR="0060114D" w:rsidRPr="0060114D">
        <w:rPr>
          <w:sz w:val="28"/>
          <w:szCs w:val="28"/>
        </w:rPr>
        <w:t xml:space="preserve"> на квалифицированную юридическую помощь. </w:t>
      </w:r>
    </w:p>
    <w:p w14:paraId="5E80FA7F" w14:textId="366D9B6A" w:rsidR="0060114D" w:rsidRPr="005722DA" w:rsidRDefault="0060114D" w:rsidP="0060114D">
      <w:pPr>
        <w:rPr>
          <w:sz w:val="28"/>
          <w:szCs w:val="28"/>
        </w:rPr>
      </w:pPr>
      <w:r>
        <w:rPr>
          <w:sz w:val="28"/>
          <w:szCs w:val="28"/>
        </w:rPr>
        <w:t xml:space="preserve">По смыслу ст. 6 Федерального закона от 31.05.2002 № 63-ФЗ «Об адвокатской деятельности и адвокатуре в Российской Федерации» </w:t>
      </w:r>
      <w:r w:rsidRPr="005722DA">
        <w:rPr>
          <w:sz w:val="28"/>
          <w:szCs w:val="28"/>
        </w:rPr>
        <w:t xml:space="preserve">адвокату запрещается оказывать помощь лицам, интересы которых противоречат </w:t>
      </w:r>
      <w:r w:rsidRPr="005722DA">
        <w:rPr>
          <w:sz w:val="28"/>
          <w:szCs w:val="28"/>
        </w:rPr>
        <w:lastRenderedPageBreak/>
        <w:t>интересам его доверителя. При таких обстоятельствах адвокат</w:t>
      </w:r>
      <w:r>
        <w:rPr>
          <w:sz w:val="28"/>
          <w:szCs w:val="28"/>
        </w:rPr>
        <w:t xml:space="preserve"> при введении проектируемой нормы</w:t>
      </w:r>
      <w:r w:rsidRPr="005722DA">
        <w:rPr>
          <w:sz w:val="28"/>
          <w:szCs w:val="28"/>
        </w:rPr>
        <w:t xml:space="preserve"> </w:t>
      </w:r>
      <w:r>
        <w:rPr>
          <w:sz w:val="28"/>
          <w:szCs w:val="28"/>
        </w:rPr>
        <w:t>будет</w:t>
      </w:r>
      <w:r w:rsidR="00CD2C84">
        <w:rPr>
          <w:sz w:val="28"/>
          <w:szCs w:val="28"/>
        </w:rPr>
        <w:t xml:space="preserve"> ограничен в принятии</w:t>
      </w:r>
      <w:r>
        <w:rPr>
          <w:sz w:val="28"/>
          <w:szCs w:val="28"/>
        </w:rPr>
        <w:t xml:space="preserve"> </w:t>
      </w:r>
      <w:r w:rsidR="00CD2C84">
        <w:rPr>
          <w:sz w:val="28"/>
          <w:szCs w:val="28"/>
        </w:rPr>
        <w:t>поручения</w:t>
      </w:r>
      <w:r w:rsidRPr="005722DA">
        <w:rPr>
          <w:sz w:val="28"/>
          <w:szCs w:val="28"/>
        </w:rPr>
        <w:t xml:space="preserve"> на представление интересов доверителя в налоговых правоотношениях в связи с риском возложения на него обязанностей, противоречащих интересам доверителя, а также риском привлечения к ответственности доверителя в результате действий</w:t>
      </w:r>
      <w:r>
        <w:rPr>
          <w:sz w:val="28"/>
          <w:szCs w:val="28"/>
        </w:rPr>
        <w:t xml:space="preserve"> (</w:t>
      </w:r>
      <w:r w:rsidRPr="005722DA">
        <w:rPr>
          <w:sz w:val="28"/>
          <w:szCs w:val="28"/>
        </w:rPr>
        <w:t>бездействия</w:t>
      </w:r>
      <w:r>
        <w:rPr>
          <w:sz w:val="28"/>
          <w:szCs w:val="28"/>
        </w:rPr>
        <w:t>)</w:t>
      </w:r>
      <w:r w:rsidRPr="005722DA">
        <w:rPr>
          <w:sz w:val="28"/>
          <w:szCs w:val="28"/>
        </w:rPr>
        <w:t xml:space="preserve"> адвоката, не принявшего повестку о вызове его доверителя.</w:t>
      </w:r>
    </w:p>
    <w:p w14:paraId="1516D326" w14:textId="39F09F23" w:rsidR="0060114D" w:rsidRDefault="0060114D" w:rsidP="0060114D">
      <w:pPr>
        <w:rPr>
          <w:sz w:val="28"/>
          <w:szCs w:val="28"/>
        </w:rPr>
      </w:pPr>
      <w:r>
        <w:rPr>
          <w:sz w:val="28"/>
          <w:szCs w:val="28"/>
        </w:rPr>
        <w:t>Полагаем, что п</w:t>
      </w:r>
      <w:r w:rsidRPr="005722DA">
        <w:rPr>
          <w:sz w:val="28"/>
          <w:szCs w:val="28"/>
        </w:rPr>
        <w:t xml:space="preserve">одход, при котором адвокат </w:t>
      </w:r>
      <w:r>
        <w:rPr>
          <w:sz w:val="28"/>
          <w:szCs w:val="28"/>
        </w:rPr>
        <w:t xml:space="preserve">может </w:t>
      </w:r>
      <w:r w:rsidRPr="005722DA">
        <w:rPr>
          <w:sz w:val="28"/>
          <w:szCs w:val="28"/>
        </w:rPr>
        <w:t>включа</w:t>
      </w:r>
      <w:r>
        <w:rPr>
          <w:sz w:val="28"/>
          <w:szCs w:val="28"/>
        </w:rPr>
        <w:t>ть</w:t>
      </w:r>
      <w:r w:rsidRPr="005722DA">
        <w:rPr>
          <w:sz w:val="28"/>
          <w:szCs w:val="28"/>
        </w:rPr>
        <w:t>ся в процесс обеспечения явки его доверителя на допрос в налоговые органы, направлен на ущемление конституционного права граждан на квалифицированную юридическую помощь,</w:t>
      </w:r>
      <w:r>
        <w:rPr>
          <w:sz w:val="28"/>
          <w:szCs w:val="28"/>
        </w:rPr>
        <w:t xml:space="preserve"> создает для адвоката недопустимый конфликт интересов, и может</w:t>
      </w:r>
      <w:r w:rsidRPr="005722DA">
        <w:rPr>
          <w:sz w:val="28"/>
          <w:szCs w:val="28"/>
        </w:rPr>
        <w:t xml:space="preserve"> привести к массовому нарушению прав налогоплательщиков и допрашиваемых лиц, а также воспрепятствованию участи</w:t>
      </w:r>
      <w:r w:rsidR="00A821E3">
        <w:rPr>
          <w:sz w:val="28"/>
          <w:szCs w:val="28"/>
        </w:rPr>
        <w:t>ю</w:t>
      </w:r>
      <w:r w:rsidRPr="005722DA">
        <w:rPr>
          <w:sz w:val="28"/>
          <w:szCs w:val="28"/>
        </w:rPr>
        <w:t xml:space="preserve"> адвокатов в качестве представителя доверителя в налоговых правоотношениях.</w:t>
      </w:r>
    </w:p>
    <w:p w14:paraId="5F15D4A9" w14:textId="4245E8A8" w:rsidR="00A821E3" w:rsidRPr="00721EDB" w:rsidRDefault="00A821E3" w:rsidP="0060114D">
      <w:pPr>
        <w:rPr>
          <w:b/>
          <w:sz w:val="28"/>
          <w:szCs w:val="28"/>
        </w:rPr>
      </w:pPr>
      <w:r w:rsidRPr="00721EDB">
        <w:rPr>
          <w:b/>
          <w:sz w:val="28"/>
          <w:szCs w:val="28"/>
        </w:rPr>
        <w:t xml:space="preserve">Более того, извещение лиц через адвокатов в российском процессуальном законодательстве допускается лишь в тех случаях, когда адвокат «заменяет собой» представляемого. </w:t>
      </w:r>
    </w:p>
    <w:p w14:paraId="50B6BBD7" w14:textId="14ADE812" w:rsidR="00A62D8C" w:rsidRPr="00721EDB" w:rsidRDefault="00A821E3" w:rsidP="00A62D8C">
      <w:pPr>
        <w:rPr>
          <w:sz w:val="28"/>
          <w:szCs w:val="28"/>
        </w:rPr>
      </w:pPr>
      <w:r w:rsidRPr="00721EDB">
        <w:rPr>
          <w:rStyle w:val="pt-a0"/>
          <w:sz w:val="28"/>
          <w:szCs w:val="28"/>
        </w:rPr>
        <w:t>Так, р</w:t>
      </w:r>
      <w:r w:rsidR="00A62D8C" w:rsidRPr="00721EDB">
        <w:rPr>
          <w:rStyle w:val="pt-a0"/>
          <w:sz w:val="28"/>
          <w:szCs w:val="28"/>
        </w:rPr>
        <w:t>оссийскому процессуальному законодательству известны случаи извещений посредством вручения уведомлений представителям</w:t>
      </w:r>
      <w:r w:rsidR="00CD2C84" w:rsidRPr="00721EDB">
        <w:rPr>
          <w:rStyle w:val="pt-a0"/>
          <w:sz w:val="28"/>
          <w:szCs w:val="28"/>
        </w:rPr>
        <w:t xml:space="preserve"> (в частности, адвокатам)</w:t>
      </w:r>
      <w:r w:rsidR="00A62D8C" w:rsidRPr="00721EDB">
        <w:rPr>
          <w:rStyle w:val="pt-a0"/>
          <w:sz w:val="28"/>
          <w:szCs w:val="28"/>
        </w:rPr>
        <w:t xml:space="preserve">. </w:t>
      </w:r>
      <w:r w:rsidRPr="00721EDB">
        <w:rPr>
          <w:rStyle w:val="pt-a0"/>
          <w:sz w:val="28"/>
          <w:szCs w:val="28"/>
        </w:rPr>
        <w:t>Например</w:t>
      </w:r>
      <w:r w:rsidR="00A62D8C" w:rsidRPr="00721EDB">
        <w:rPr>
          <w:rStyle w:val="pt-a0"/>
          <w:sz w:val="28"/>
          <w:szCs w:val="28"/>
        </w:rPr>
        <w:t>,</w:t>
      </w:r>
      <w:r w:rsidR="00CD2C84" w:rsidRPr="00721EDB">
        <w:rPr>
          <w:rStyle w:val="pt-a0"/>
          <w:sz w:val="28"/>
          <w:szCs w:val="28"/>
        </w:rPr>
        <w:t xml:space="preserve"> </w:t>
      </w:r>
      <w:r w:rsidR="00A62D8C" w:rsidRPr="00721EDB">
        <w:rPr>
          <w:rStyle w:val="pt-a0"/>
          <w:sz w:val="28"/>
          <w:szCs w:val="28"/>
        </w:rPr>
        <w:t>ст. 96 КАС РФ (судебные извещения и вызовы) предусматривает, что с</w:t>
      </w:r>
      <w:r w:rsidR="00A62D8C" w:rsidRPr="00721EDB">
        <w:rPr>
          <w:sz w:val="28"/>
          <w:szCs w:val="28"/>
        </w:rPr>
        <w:t>удебное извещение, адресованное лицу, участвующему в деле, направляется по адресу, указанному лицом, участвующим в деле, или его представителем. В соответствии со ст. 121 АПК РФ, если лицо, участвующее в деле, ведет дело через представителя, судебное извещение направляется также по месту нахождения представителя.</w:t>
      </w:r>
      <w:r w:rsidR="00134271" w:rsidRPr="00721EDB">
        <w:rPr>
          <w:sz w:val="28"/>
          <w:szCs w:val="28"/>
        </w:rPr>
        <w:t xml:space="preserve"> </w:t>
      </w:r>
      <w:r w:rsidR="00A62D8C" w:rsidRPr="00721EDB">
        <w:rPr>
          <w:sz w:val="28"/>
          <w:szCs w:val="28"/>
        </w:rPr>
        <w:t>Ст. 117 ГПК (</w:t>
      </w:r>
      <w:r w:rsidR="00134271" w:rsidRPr="00721EDB">
        <w:rPr>
          <w:sz w:val="28"/>
          <w:szCs w:val="28"/>
        </w:rPr>
        <w:t>«Н</w:t>
      </w:r>
      <w:r w:rsidR="00A62D8C" w:rsidRPr="00721EDB">
        <w:rPr>
          <w:sz w:val="28"/>
          <w:szCs w:val="28"/>
        </w:rPr>
        <w:t>адлежащее извещение</w:t>
      </w:r>
      <w:r w:rsidR="00134271" w:rsidRPr="00721EDB">
        <w:rPr>
          <w:sz w:val="28"/>
          <w:szCs w:val="28"/>
        </w:rPr>
        <w:t>»</w:t>
      </w:r>
      <w:r w:rsidR="00A62D8C" w:rsidRPr="00721EDB">
        <w:rPr>
          <w:sz w:val="28"/>
          <w:szCs w:val="28"/>
        </w:rPr>
        <w:t>) содержит указание на то, что лица, участвующие в деле, и другие участники процесса также считаются извещенными надлежащим образом судом, если судебное извещение вручено представителю лица, участвующего в деле</w:t>
      </w:r>
      <w:r w:rsidR="00134271" w:rsidRPr="00721EDB">
        <w:rPr>
          <w:sz w:val="28"/>
          <w:szCs w:val="28"/>
        </w:rPr>
        <w:t>;</w:t>
      </w:r>
      <w:r w:rsidR="00A62D8C" w:rsidRPr="00721EDB">
        <w:rPr>
          <w:sz w:val="28"/>
          <w:szCs w:val="28"/>
        </w:rPr>
        <w:t xml:space="preserve"> </w:t>
      </w:r>
      <w:r w:rsidR="00134271" w:rsidRPr="00721EDB">
        <w:rPr>
          <w:sz w:val="28"/>
          <w:szCs w:val="28"/>
        </w:rPr>
        <w:t>о</w:t>
      </w:r>
      <w:r w:rsidR="00A62D8C" w:rsidRPr="00721EDB">
        <w:rPr>
          <w:sz w:val="28"/>
          <w:szCs w:val="28"/>
        </w:rPr>
        <w:t>днако глава 4 ГПК РФ (</w:t>
      </w:r>
      <w:r w:rsidR="00134271" w:rsidRPr="00721EDB">
        <w:rPr>
          <w:sz w:val="28"/>
          <w:szCs w:val="28"/>
        </w:rPr>
        <w:t>«</w:t>
      </w:r>
      <w:r w:rsidR="00A62D8C" w:rsidRPr="00721EDB">
        <w:rPr>
          <w:sz w:val="28"/>
          <w:szCs w:val="28"/>
        </w:rPr>
        <w:t>Лица, участвующие в деле, и другие участники процесса</w:t>
      </w:r>
      <w:r w:rsidR="00134271" w:rsidRPr="00721EDB">
        <w:rPr>
          <w:sz w:val="28"/>
          <w:szCs w:val="28"/>
        </w:rPr>
        <w:t>»</w:t>
      </w:r>
      <w:r w:rsidR="00A62D8C" w:rsidRPr="00721EDB">
        <w:rPr>
          <w:sz w:val="28"/>
          <w:szCs w:val="28"/>
        </w:rPr>
        <w:t>) не включает в состав иных участников процесса свидетеля.</w:t>
      </w:r>
    </w:p>
    <w:p w14:paraId="0D510CC9" w14:textId="1578A89A" w:rsidR="00A62D8C" w:rsidRPr="00721EDB" w:rsidRDefault="00A821E3" w:rsidP="00A62D8C">
      <w:pPr>
        <w:rPr>
          <w:b/>
          <w:sz w:val="28"/>
          <w:szCs w:val="28"/>
        </w:rPr>
      </w:pPr>
      <w:r w:rsidRPr="00721EDB">
        <w:rPr>
          <w:b/>
          <w:sz w:val="28"/>
          <w:szCs w:val="28"/>
        </w:rPr>
        <w:t>При этом все</w:t>
      </w:r>
      <w:r w:rsidR="00A62D8C" w:rsidRPr="00721EDB">
        <w:rPr>
          <w:b/>
          <w:sz w:val="28"/>
          <w:szCs w:val="28"/>
        </w:rPr>
        <w:t xml:space="preserve"> имеющиеся случаи извещения лиц через </w:t>
      </w:r>
      <w:r w:rsidRPr="00721EDB">
        <w:rPr>
          <w:b/>
          <w:sz w:val="28"/>
          <w:szCs w:val="28"/>
        </w:rPr>
        <w:t xml:space="preserve">юридических </w:t>
      </w:r>
      <w:r w:rsidR="00A62D8C" w:rsidRPr="00721EDB">
        <w:rPr>
          <w:b/>
          <w:sz w:val="28"/>
          <w:szCs w:val="28"/>
        </w:rPr>
        <w:t>представителей</w:t>
      </w:r>
      <w:r w:rsidR="00CD2C84" w:rsidRPr="00721EDB">
        <w:rPr>
          <w:b/>
          <w:sz w:val="28"/>
          <w:szCs w:val="28"/>
        </w:rPr>
        <w:t xml:space="preserve"> (в частности, адвокатов)</w:t>
      </w:r>
      <w:r w:rsidR="00A62D8C" w:rsidRPr="00721EDB">
        <w:rPr>
          <w:b/>
          <w:sz w:val="28"/>
          <w:szCs w:val="28"/>
        </w:rPr>
        <w:t xml:space="preserve"> касаются ситуаций, когда представитель лица </w:t>
      </w:r>
      <w:r w:rsidR="00A62D8C" w:rsidRPr="00721EDB">
        <w:rPr>
          <w:b/>
          <w:i/>
          <w:sz w:val="28"/>
          <w:szCs w:val="28"/>
        </w:rPr>
        <w:t>заменяет собой</w:t>
      </w:r>
      <w:r w:rsidR="00A62D8C" w:rsidRPr="00721EDB">
        <w:rPr>
          <w:b/>
          <w:sz w:val="28"/>
          <w:szCs w:val="28"/>
        </w:rPr>
        <w:t xml:space="preserve"> представляемого, что </w:t>
      </w:r>
      <w:r w:rsidR="00ED2D07" w:rsidRPr="00721EDB">
        <w:rPr>
          <w:b/>
          <w:sz w:val="28"/>
          <w:szCs w:val="28"/>
        </w:rPr>
        <w:t>является</w:t>
      </w:r>
      <w:r w:rsidR="00A62D8C" w:rsidRPr="00721EDB">
        <w:rPr>
          <w:b/>
          <w:sz w:val="28"/>
          <w:szCs w:val="28"/>
        </w:rPr>
        <w:t xml:space="preserve"> логичным и целесообразным с учетом полного возложения функций представляемой стороны на самого представителя</w:t>
      </w:r>
      <w:r w:rsidR="00CD2C84" w:rsidRPr="00721EDB">
        <w:rPr>
          <w:b/>
          <w:sz w:val="28"/>
          <w:szCs w:val="28"/>
        </w:rPr>
        <w:t xml:space="preserve"> (адвоката)</w:t>
      </w:r>
      <w:r w:rsidR="00A62D8C" w:rsidRPr="00721EDB">
        <w:rPr>
          <w:b/>
          <w:sz w:val="28"/>
          <w:szCs w:val="28"/>
        </w:rPr>
        <w:t xml:space="preserve">. </w:t>
      </w:r>
    </w:p>
    <w:p w14:paraId="79644126" w14:textId="5DC32772" w:rsidR="00A62D8C" w:rsidRPr="00721EDB" w:rsidRDefault="00A62D8C" w:rsidP="00A62D8C">
      <w:pPr>
        <w:rPr>
          <w:sz w:val="28"/>
          <w:szCs w:val="28"/>
        </w:rPr>
      </w:pPr>
      <w:r w:rsidRPr="00721EDB">
        <w:rPr>
          <w:sz w:val="28"/>
          <w:szCs w:val="28"/>
        </w:rPr>
        <w:t xml:space="preserve">Однако </w:t>
      </w:r>
      <w:r w:rsidR="00134271" w:rsidRPr="00721EDB">
        <w:rPr>
          <w:sz w:val="28"/>
          <w:szCs w:val="28"/>
        </w:rPr>
        <w:t xml:space="preserve">по смыслу НК РФ </w:t>
      </w:r>
      <w:r w:rsidRPr="00721EDB">
        <w:rPr>
          <w:sz w:val="28"/>
          <w:szCs w:val="28"/>
        </w:rPr>
        <w:t xml:space="preserve">свидетель </w:t>
      </w:r>
      <w:r w:rsidRPr="00721EDB">
        <w:rPr>
          <w:i/>
          <w:sz w:val="28"/>
          <w:szCs w:val="28"/>
        </w:rPr>
        <w:t>не относится к лицам, могущим быть замененным представителем</w:t>
      </w:r>
      <w:r w:rsidR="00CD2C84" w:rsidRPr="00721EDB">
        <w:rPr>
          <w:i/>
          <w:sz w:val="28"/>
          <w:szCs w:val="28"/>
        </w:rPr>
        <w:t xml:space="preserve"> (адвокатом)</w:t>
      </w:r>
      <w:r w:rsidRPr="00721EDB">
        <w:rPr>
          <w:sz w:val="28"/>
          <w:szCs w:val="28"/>
        </w:rPr>
        <w:t>. Как подтверждается Письмом Минфина РФ от 18.12.2020 № 03-02-08/111223, статья 29 НК РФ не предусматривает передачу полномочий свидетеля представителю по доверенности, что соответствует его статусу как лица, которому (лично) известны обстоятельства, имеющие значение для осуществления налогового контроля. В связи с этим полномочия представителя свидетеля</w:t>
      </w:r>
      <w:r w:rsidR="00A821E3" w:rsidRPr="00721EDB">
        <w:rPr>
          <w:sz w:val="28"/>
          <w:szCs w:val="28"/>
        </w:rPr>
        <w:t>, являющегося адвокатом,</w:t>
      </w:r>
      <w:r w:rsidRPr="00721EDB">
        <w:rPr>
          <w:sz w:val="28"/>
          <w:szCs w:val="28"/>
        </w:rPr>
        <w:t xml:space="preserve"> основываются на ст. 48 Конституции РФ и предполагают оказание </w:t>
      </w:r>
      <w:r w:rsidR="00A821E3" w:rsidRPr="00721EDB">
        <w:rPr>
          <w:sz w:val="28"/>
          <w:szCs w:val="28"/>
        </w:rPr>
        <w:lastRenderedPageBreak/>
        <w:t>представителем юридической помощи, не могущей осуществляться в условиях конфликта интересов.</w:t>
      </w:r>
    </w:p>
    <w:p w14:paraId="16244F9C" w14:textId="1D534A36" w:rsidR="00A62D8C" w:rsidRPr="00721EDB" w:rsidRDefault="00A62D8C" w:rsidP="00A62D8C">
      <w:pPr>
        <w:rPr>
          <w:b/>
          <w:sz w:val="28"/>
          <w:szCs w:val="28"/>
        </w:rPr>
      </w:pPr>
      <w:r w:rsidRPr="00721EDB">
        <w:rPr>
          <w:b/>
          <w:sz w:val="28"/>
          <w:szCs w:val="28"/>
        </w:rPr>
        <w:t xml:space="preserve">Таким образом, статус представителя </w:t>
      </w:r>
      <w:r w:rsidR="00487254" w:rsidRPr="00721EDB">
        <w:rPr>
          <w:b/>
          <w:sz w:val="28"/>
          <w:szCs w:val="28"/>
        </w:rPr>
        <w:t xml:space="preserve">(в том числе адвоката) </w:t>
      </w:r>
      <w:r w:rsidRPr="00721EDB">
        <w:rPr>
          <w:b/>
          <w:sz w:val="28"/>
          <w:szCs w:val="28"/>
        </w:rPr>
        <w:t>лица, участвующего в деле</w:t>
      </w:r>
      <w:r w:rsidR="00134271" w:rsidRPr="00721EDB">
        <w:rPr>
          <w:b/>
          <w:sz w:val="28"/>
          <w:szCs w:val="28"/>
        </w:rPr>
        <w:t xml:space="preserve"> в соответствии с процессуальными кодексами РФ</w:t>
      </w:r>
      <w:r w:rsidRPr="00721EDB">
        <w:rPr>
          <w:b/>
          <w:sz w:val="28"/>
          <w:szCs w:val="28"/>
        </w:rPr>
        <w:t>, отличается от статуса представителя свидетеля</w:t>
      </w:r>
      <w:r w:rsidR="00A821E3" w:rsidRPr="00721EDB">
        <w:rPr>
          <w:b/>
          <w:sz w:val="28"/>
          <w:szCs w:val="28"/>
        </w:rPr>
        <w:t>, являющегося адвокатом,</w:t>
      </w:r>
      <w:r w:rsidRPr="00721EDB">
        <w:rPr>
          <w:b/>
          <w:sz w:val="28"/>
          <w:szCs w:val="28"/>
        </w:rPr>
        <w:t xml:space="preserve"> по НК РФ: последний по сути выполняет </w:t>
      </w:r>
      <w:r w:rsidRPr="00721EDB">
        <w:rPr>
          <w:b/>
          <w:i/>
          <w:sz w:val="28"/>
          <w:szCs w:val="28"/>
        </w:rPr>
        <w:t>функции защитника</w:t>
      </w:r>
      <w:r w:rsidR="00A821E3" w:rsidRPr="00721EDB">
        <w:rPr>
          <w:b/>
          <w:i/>
          <w:sz w:val="28"/>
          <w:szCs w:val="28"/>
        </w:rPr>
        <w:t>, оказывающего юридическую помощь,</w:t>
      </w:r>
      <w:r w:rsidRPr="00721EDB">
        <w:rPr>
          <w:b/>
          <w:i/>
          <w:sz w:val="28"/>
          <w:szCs w:val="28"/>
        </w:rPr>
        <w:t xml:space="preserve"> </w:t>
      </w:r>
      <w:r w:rsidRPr="00721EDB">
        <w:rPr>
          <w:b/>
          <w:sz w:val="28"/>
          <w:szCs w:val="28"/>
        </w:rPr>
        <w:t xml:space="preserve">и не заменяет собой свидетеля. </w:t>
      </w:r>
    </w:p>
    <w:p w14:paraId="1318C56F" w14:textId="2CD5D8C7" w:rsidR="00AA4C9E" w:rsidRPr="00721EDB" w:rsidRDefault="00A62D8C" w:rsidP="00AA4C9E">
      <w:pPr>
        <w:rPr>
          <w:sz w:val="28"/>
          <w:szCs w:val="28"/>
        </w:rPr>
      </w:pPr>
      <w:r w:rsidRPr="00721EDB">
        <w:rPr>
          <w:sz w:val="28"/>
          <w:szCs w:val="28"/>
        </w:rPr>
        <w:t>Соответствующая природа представителя свидетеля</w:t>
      </w:r>
      <w:r w:rsidR="00A821E3" w:rsidRPr="00721EDB">
        <w:rPr>
          <w:sz w:val="28"/>
          <w:szCs w:val="28"/>
        </w:rPr>
        <w:t>, являющегося адвокатом,</w:t>
      </w:r>
      <w:r w:rsidR="00134271" w:rsidRPr="00721EDB">
        <w:rPr>
          <w:sz w:val="28"/>
          <w:szCs w:val="28"/>
        </w:rPr>
        <w:t xml:space="preserve"> по НК РФ</w:t>
      </w:r>
      <w:r w:rsidRPr="00721EDB">
        <w:rPr>
          <w:sz w:val="28"/>
          <w:szCs w:val="28"/>
        </w:rPr>
        <w:t xml:space="preserve"> исключает возможность возложения на него функции по передаче извещений свидетелю. </w:t>
      </w:r>
      <w:r w:rsidR="00A821E3" w:rsidRPr="00721EDB">
        <w:rPr>
          <w:sz w:val="28"/>
          <w:szCs w:val="28"/>
        </w:rPr>
        <w:t>Адвокат – п</w:t>
      </w:r>
      <w:r w:rsidRPr="00721EDB">
        <w:rPr>
          <w:sz w:val="28"/>
          <w:szCs w:val="28"/>
        </w:rPr>
        <w:t>редставитель свидетеля не имеет полномочий по принудительному вручению</w:t>
      </w:r>
      <w:r w:rsidR="00134271" w:rsidRPr="00721EDB">
        <w:rPr>
          <w:sz w:val="28"/>
          <w:szCs w:val="28"/>
        </w:rPr>
        <w:t xml:space="preserve"> свидетелю</w:t>
      </w:r>
      <w:r w:rsidRPr="00721EDB">
        <w:rPr>
          <w:sz w:val="28"/>
          <w:szCs w:val="28"/>
        </w:rPr>
        <w:t xml:space="preserve"> соответствующего уведомления, не обладает</w:t>
      </w:r>
      <w:r w:rsidR="00134271" w:rsidRPr="00721EDB">
        <w:rPr>
          <w:sz w:val="28"/>
          <w:szCs w:val="28"/>
        </w:rPr>
        <w:t xml:space="preserve"> и не может обладать в силу отсутствия названных полномочий</w:t>
      </w:r>
      <w:r w:rsidRPr="00721EDB">
        <w:rPr>
          <w:sz w:val="28"/>
          <w:szCs w:val="28"/>
        </w:rPr>
        <w:t xml:space="preserve"> ответственностью за его невручение. </w:t>
      </w:r>
    </w:p>
    <w:p w14:paraId="773F2F6E" w14:textId="2DCACF28" w:rsidR="00924EDB" w:rsidRPr="005722DA" w:rsidRDefault="00924EDB" w:rsidP="00924EDB">
      <w:pPr>
        <w:rPr>
          <w:sz w:val="28"/>
          <w:szCs w:val="28"/>
        </w:rPr>
      </w:pPr>
      <w:r w:rsidRPr="00721EDB">
        <w:rPr>
          <w:sz w:val="28"/>
          <w:szCs w:val="28"/>
        </w:rPr>
        <w:t xml:space="preserve">Аналогичный подход к статусу свидетеля, исключающий его вызов или извещение через представителя, усматривается во всех процессуальных кодексах РФ, предполагающих </w:t>
      </w:r>
      <w:r w:rsidRPr="00721EDB">
        <w:rPr>
          <w:i/>
          <w:sz w:val="28"/>
          <w:szCs w:val="28"/>
        </w:rPr>
        <w:t>персональный</w:t>
      </w:r>
      <w:r w:rsidRPr="00721EDB">
        <w:rPr>
          <w:sz w:val="28"/>
          <w:szCs w:val="28"/>
        </w:rPr>
        <w:t xml:space="preserve"> вызов свидетелей. Так, УПК РФ (ст. 188) не предполагает возможности вызова лица на допрос через представителя</w:t>
      </w:r>
      <w:r w:rsidR="00487254" w:rsidRPr="00721EDB">
        <w:rPr>
          <w:sz w:val="28"/>
          <w:szCs w:val="28"/>
        </w:rPr>
        <w:t xml:space="preserve"> (адвоката)</w:t>
      </w:r>
      <w:r w:rsidRPr="00721EDB">
        <w:rPr>
          <w:sz w:val="28"/>
          <w:szCs w:val="28"/>
        </w:rPr>
        <w:t>. В соответствии с ч. 2 ст. 25.15 КоАП РФ извещения, адресованные гражданам, как общее правило направляются по месту их жительства. Ст. 56 АПК РФ, 51 КАС РФ, ст. 70 ГПК РФ не предусматривают вызов свидетеля через представителя</w:t>
      </w:r>
      <w:r w:rsidR="00487254" w:rsidRPr="00721EDB">
        <w:rPr>
          <w:sz w:val="28"/>
          <w:szCs w:val="28"/>
        </w:rPr>
        <w:t xml:space="preserve"> (адвоката)</w:t>
      </w:r>
      <w:r w:rsidRPr="00721EDB">
        <w:rPr>
          <w:sz w:val="28"/>
          <w:szCs w:val="28"/>
        </w:rPr>
        <w:t>.</w:t>
      </w:r>
      <w:r w:rsidRPr="005722DA">
        <w:rPr>
          <w:sz w:val="28"/>
          <w:szCs w:val="28"/>
        </w:rPr>
        <w:t xml:space="preserve"> </w:t>
      </w:r>
    </w:p>
    <w:p w14:paraId="793FB0CE" w14:textId="2458F9A6" w:rsidR="00A821E3" w:rsidRDefault="0000278F" w:rsidP="00AA4C9E">
      <w:pPr>
        <w:rPr>
          <w:b/>
          <w:sz w:val="28"/>
          <w:szCs w:val="28"/>
        </w:rPr>
      </w:pPr>
      <w:r w:rsidRPr="005722DA">
        <w:rPr>
          <w:b/>
          <w:sz w:val="28"/>
          <w:szCs w:val="28"/>
        </w:rPr>
        <w:t xml:space="preserve">С учетом изложенного </w:t>
      </w:r>
      <w:r w:rsidR="00AA4C9E">
        <w:rPr>
          <w:b/>
          <w:sz w:val="28"/>
          <w:szCs w:val="28"/>
        </w:rPr>
        <w:t xml:space="preserve">Адвокатская палата города Москвы предлагает </w:t>
      </w:r>
      <w:r w:rsidR="00A821E3">
        <w:rPr>
          <w:b/>
          <w:sz w:val="28"/>
          <w:szCs w:val="28"/>
        </w:rPr>
        <w:t>изложить соответствующую проектируемую норму в следующей редакции:</w:t>
      </w:r>
    </w:p>
    <w:p w14:paraId="4724BF41" w14:textId="44E17C10" w:rsidR="00487254" w:rsidRPr="00487254" w:rsidRDefault="00A821E3" w:rsidP="00AA4C9E">
      <w:pPr>
        <w:rPr>
          <w:rStyle w:val="pt-a0"/>
          <w:b/>
          <w:sz w:val="28"/>
          <w:szCs w:val="28"/>
        </w:rPr>
      </w:pPr>
      <w:r w:rsidRPr="00487254">
        <w:rPr>
          <w:rStyle w:val="pt-a0"/>
          <w:b/>
          <w:sz w:val="28"/>
          <w:szCs w:val="28"/>
        </w:rPr>
        <w:t>«</w:t>
      </w:r>
      <w:r w:rsidR="00487254" w:rsidRPr="00487254">
        <w:rPr>
          <w:b/>
          <w:sz w:val="28"/>
          <w:szCs w:val="28"/>
        </w:rPr>
        <w:t>Уведомление о вызове для дачи показаний может быть передано физическому лицу (его законному или уполномоченному представителю,</w:t>
      </w:r>
      <w:r w:rsidR="00487254" w:rsidRPr="00487254">
        <w:rPr>
          <w:rStyle w:val="pt-a0"/>
          <w:b/>
          <w:sz w:val="28"/>
          <w:szCs w:val="28"/>
          <w:u w:val="single"/>
        </w:rPr>
        <w:t xml:space="preserve"> за исключением представителей, являющихся адвокатами</w:t>
      </w:r>
      <w:r w:rsidR="00487254" w:rsidRPr="00487254">
        <w:rPr>
          <w:b/>
          <w:sz w:val="28"/>
          <w:szCs w:val="28"/>
        </w:rPr>
        <w:t xml:space="preserve">) лично под расписку, направлено по почте заказным письмом, передано </w:t>
      </w:r>
      <w:r w:rsidR="00487254" w:rsidRPr="00487254">
        <w:rPr>
          <w:b/>
          <w:sz w:val="28"/>
          <w:szCs w:val="28"/>
        </w:rPr>
        <w:br/>
        <w:t xml:space="preserve">в электронной форме по телекоммуникационным каналам связи </w:t>
      </w:r>
      <w:r w:rsidR="00487254" w:rsidRPr="00487254">
        <w:rPr>
          <w:b/>
          <w:sz w:val="28"/>
          <w:szCs w:val="28"/>
        </w:rPr>
        <w:br/>
        <w:t xml:space="preserve">или через личный кабинет налогоплательщика, а также может быть передано физическому лицу в электронной форме через личный кабинет </w:t>
      </w:r>
      <w:r w:rsidR="00487254" w:rsidRPr="00487254">
        <w:rPr>
          <w:b/>
          <w:sz w:val="28"/>
          <w:szCs w:val="28"/>
        </w:rPr>
        <w:br/>
        <w:t>на едином портале государственных и муниципальных услуг.».</w:t>
      </w:r>
    </w:p>
    <w:sectPr w:rsidR="00487254" w:rsidRPr="004872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B94F6" w14:textId="77777777" w:rsidR="00522CF0" w:rsidRDefault="00522CF0" w:rsidP="00A62D8C">
      <w:r>
        <w:separator/>
      </w:r>
    </w:p>
  </w:endnote>
  <w:endnote w:type="continuationSeparator" w:id="0">
    <w:p w14:paraId="32CEF15A" w14:textId="77777777" w:rsidR="00522CF0" w:rsidRDefault="00522CF0" w:rsidP="00A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B45A0" w14:textId="77777777" w:rsidR="00522CF0" w:rsidRDefault="00522CF0" w:rsidP="00A62D8C">
      <w:r>
        <w:separator/>
      </w:r>
    </w:p>
  </w:footnote>
  <w:footnote w:type="continuationSeparator" w:id="0">
    <w:p w14:paraId="3A5A79C1" w14:textId="77777777" w:rsidR="00522CF0" w:rsidRDefault="00522CF0" w:rsidP="00A6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12"/>
    <w:rsid w:val="0000278F"/>
    <w:rsid w:val="000D26C2"/>
    <w:rsid w:val="000E29A0"/>
    <w:rsid w:val="00134271"/>
    <w:rsid w:val="0018462B"/>
    <w:rsid w:val="002C1BAE"/>
    <w:rsid w:val="00383601"/>
    <w:rsid w:val="00484CB2"/>
    <w:rsid w:val="00487254"/>
    <w:rsid w:val="00522CF0"/>
    <w:rsid w:val="005722DA"/>
    <w:rsid w:val="005D3A36"/>
    <w:rsid w:val="0060114D"/>
    <w:rsid w:val="006011D6"/>
    <w:rsid w:val="0064146C"/>
    <w:rsid w:val="00721EDB"/>
    <w:rsid w:val="007D5F87"/>
    <w:rsid w:val="00890D95"/>
    <w:rsid w:val="008C2343"/>
    <w:rsid w:val="008D71F8"/>
    <w:rsid w:val="00907779"/>
    <w:rsid w:val="00924EDB"/>
    <w:rsid w:val="00941DB6"/>
    <w:rsid w:val="00A0197F"/>
    <w:rsid w:val="00A32FE3"/>
    <w:rsid w:val="00A62D8C"/>
    <w:rsid w:val="00A821E3"/>
    <w:rsid w:val="00AA4C9E"/>
    <w:rsid w:val="00C159AD"/>
    <w:rsid w:val="00C46A89"/>
    <w:rsid w:val="00CD2C84"/>
    <w:rsid w:val="00CE2A42"/>
    <w:rsid w:val="00CF1300"/>
    <w:rsid w:val="00D72021"/>
    <w:rsid w:val="00DA4879"/>
    <w:rsid w:val="00EC2C67"/>
    <w:rsid w:val="00ED2D07"/>
    <w:rsid w:val="00EF3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793E"/>
  <w15:chartTrackingRefBased/>
  <w15:docId w15:val="{208B58BB-7C46-471C-8387-601C1556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4"/>
        <w:szCs w:val="24"/>
        <w:lang w:val="ru-RU" w:eastAsia="en-US" w:bidi="ar-SA"/>
        <w14:ligatures w14:val="standardContextual"/>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F3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F3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F3D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EF3D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EF3D1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EF3D1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F3D1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F3D1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F3D1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D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F3D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F3D12"/>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EF3D12"/>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EF3D12"/>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EF3D1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F3D1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F3D1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F3D1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F3D1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F3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D12"/>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EF3D12"/>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EF3D12"/>
    <w:pPr>
      <w:spacing w:before="160" w:after="160"/>
      <w:jc w:val="center"/>
    </w:pPr>
    <w:rPr>
      <w:i/>
      <w:iCs/>
      <w:color w:val="404040" w:themeColor="text1" w:themeTint="BF"/>
    </w:rPr>
  </w:style>
  <w:style w:type="character" w:customStyle="1" w:styleId="22">
    <w:name w:val="Цитата 2 Знак"/>
    <w:basedOn w:val="a0"/>
    <w:link w:val="21"/>
    <w:uiPriority w:val="29"/>
    <w:rsid w:val="00EF3D12"/>
    <w:rPr>
      <w:i/>
      <w:iCs/>
      <w:color w:val="404040" w:themeColor="text1" w:themeTint="BF"/>
    </w:rPr>
  </w:style>
  <w:style w:type="paragraph" w:styleId="a7">
    <w:name w:val="List Paragraph"/>
    <w:basedOn w:val="a"/>
    <w:uiPriority w:val="34"/>
    <w:qFormat/>
    <w:rsid w:val="00EF3D12"/>
    <w:pPr>
      <w:ind w:left="720"/>
      <w:contextualSpacing/>
    </w:pPr>
  </w:style>
  <w:style w:type="character" w:styleId="a8">
    <w:name w:val="Intense Emphasis"/>
    <w:basedOn w:val="a0"/>
    <w:uiPriority w:val="21"/>
    <w:qFormat/>
    <w:rsid w:val="00EF3D12"/>
    <w:rPr>
      <w:i/>
      <w:iCs/>
      <w:color w:val="0F4761" w:themeColor="accent1" w:themeShade="BF"/>
    </w:rPr>
  </w:style>
  <w:style w:type="paragraph" w:styleId="a9">
    <w:name w:val="Intense Quote"/>
    <w:basedOn w:val="a"/>
    <w:next w:val="a"/>
    <w:link w:val="aa"/>
    <w:uiPriority w:val="30"/>
    <w:qFormat/>
    <w:rsid w:val="00EF3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F3D12"/>
    <w:rPr>
      <w:i/>
      <w:iCs/>
      <w:color w:val="0F4761" w:themeColor="accent1" w:themeShade="BF"/>
    </w:rPr>
  </w:style>
  <w:style w:type="character" w:styleId="ab">
    <w:name w:val="Intense Reference"/>
    <w:basedOn w:val="a0"/>
    <w:uiPriority w:val="32"/>
    <w:qFormat/>
    <w:rsid w:val="00EF3D12"/>
    <w:rPr>
      <w:b/>
      <w:bCs/>
      <w:smallCaps/>
      <w:color w:val="0F4761" w:themeColor="accent1" w:themeShade="BF"/>
      <w:spacing w:val="5"/>
    </w:rPr>
  </w:style>
  <w:style w:type="character" w:customStyle="1" w:styleId="pt-a0">
    <w:name w:val="pt-a0"/>
    <w:basedOn w:val="a0"/>
    <w:rsid w:val="0064146C"/>
  </w:style>
  <w:style w:type="paragraph" w:styleId="ac">
    <w:name w:val="Normal (Web)"/>
    <w:basedOn w:val="a"/>
    <w:uiPriority w:val="99"/>
    <w:semiHidden/>
    <w:unhideWhenUsed/>
    <w:rsid w:val="00C46A89"/>
    <w:pPr>
      <w:spacing w:before="100" w:beforeAutospacing="1" w:after="100" w:afterAutospacing="1"/>
      <w:ind w:firstLine="0"/>
      <w:jc w:val="left"/>
    </w:pPr>
    <w:rPr>
      <w:rFonts w:eastAsia="Times New Roman"/>
      <w:kern w:val="0"/>
      <w:lang w:eastAsia="ru-RU"/>
      <w14:ligatures w14:val="none"/>
    </w:rPr>
  </w:style>
  <w:style w:type="character" w:styleId="ad">
    <w:name w:val="Hyperlink"/>
    <w:basedOn w:val="a0"/>
    <w:uiPriority w:val="99"/>
    <w:unhideWhenUsed/>
    <w:rsid w:val="0000278F"/>
    <w:rPr>
      <w:color w:val="467886" w:themeColor="hyperlink"/>
      <w:u w:val="single"/>
    </w:rPr>
  </w:style>
  <w:style w:type="character" w:styleId="ae">
    <w:name w:val="FollowedHyperlink"/>
    <w:basedOn w:val="a0"/>
    <w:uiPriority w:val="99"/>
    <w:semiHidden/>
    <w:unhideWhenUsed/>
    <w:rsid w:val="005722DA"/>
    <w:rPr>
      <w:color w:val="96607D" w:themeColor="followedHyperlink"/>
      <w:u w:val="single"/>
    </w:rPr>
  </w:style>
  <w:style w:type="paragraph" w:styleId="af">
    <w:name w:val="footnote text"/>
    <w:basedOn w:val="a"/>
    <w:link w:val="af0"/>
    <w:uiPriority w:val="99"/>
    <w:semiHidden/>
    <w:unhideWhenUsed/>
    <w:rsid w:val="00A62D8C"/>
    <w:rPr>
      <w:sz w:val="20"/>
      <w:szCs w:val="20"/>
    </w:rPr>
  </w:style>
  <w:style w:type="character" w:customStyle="1" w:styleId="af0">
    <w:name w:val="Текст сноски Знак"/>
    <w:basedOn w:val="a0"/>
    <w:link w:val="af"/>
    <w:uiPriority w:val="99"/>
    <w:semiHidden/>
    <w:rsid w:val="00A62D8C"/>
    <w:rPr>
      <w:sz w:val="20"/>
      <w:szCs w:val="20"/>
    </w:rPr>
  </w:style>
  <w:style w:type="character" w:styleId="af1">
    <w:name w:val="footnote reference"/>
    <w:basedOn w:val="a0"/>
    <w:uiPriority w:val="99"/>
    <w:semiHidden/>
    <w:unhideWhenUsed/>
    <w:rsid w:val="00A62D8C"/>
    <w:rPr>
      <w:vertAlign w:val="superscript"/>
    </w:rPr>
  </w:style>
  <w:style w:type="character" w:customStyle="1" w:styleId="pt-a0-000008">
    <w:name w:val="pt-a0-000008"/>
    <w:basedOn w:val="a0"/>
    <w:rsid w:val="00A6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02513">
      <w:bodyDiv w:val="1"/>
      <w:marLeft w:val="0"/>
      <w:marRight w:val="0"/>
      <w:marTop w:val="0"/>
      <w:marBottom w:val="0"/>
      <w:divBdr>
        <w:top w:val="none" w:sz="0" w:space="0" w:color="auto"/>
        <w:left w:val="none" w:sz="0" w:space="0" w:color="auto"/>
        <w:bottom w:val="none" w:sz="0" w:space="0" w:color="auto"/>
        <w:right w:val="none" w:sz="0" w:space="0" w:color="auto"/>
      </w:divBdr>
    </w:div>
    <w:div w:id="10211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AF37C-8AC7-4535-B154-594FBB12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Кузнецова Анастасия Михайловна</cp:lastModifiedBy>
  <cp:revision>2</cp:revision>
  <dcterms:created xsi:type="dcterms:W3CDTF">2025-10-16T07:35:00Z</dcterms:created>
  <dcterms:modified xsi:type="dcterms:W3CDTF">2025-10-16T07:35:00Z</dcterms:modified>
</cp:coreProperties>
</file>