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068"/>
      </w:tblGrid>
      <w:tr w:rsidR="00172CA8" w:rsidTr="00172CA8">
        <w:trPr>
          <w:trHeight w:val="565"/>
        </w:trPr>
        <w:tc>
          <w:tcPr>
            <w:tcW w:w="5104" w:type="dxa"/>
          </w:tcPr>
          <w:p w:rsidR="00172CA8" w:rsidRDefault="00172CA8">
            <w:pPr>
              <w:spacing w:line="276" w:lineRule="auto"/>
              <w:jc w:val="right"/>
              <w:rPr>
                <w:b/>
                <w:lang w:eastAsia="en-US"/>
              </w:rPr>
            </w:pPr>
          </w:p>
        </w:tc>
        <w:tc>
          <w:tcPr>
            <w:tcW w:w="5068" w:type="dxa"/>
            <w:hideMark/>
          </w:tcPr>
          <w:p w:rsidR="00172CA8" w:rsidRPr="00172CA8" w:rsidRDefault="00F44806">
            <w:pPr>
              <w:spacing w:line="276" w:lineRule="auto"/>
              <w:rPr>
                <w:b/>
                <w:u w:val="single"/>
                <w:lang w:eastAsia="en-US"/>
              </w:rPr>
            </w:pPr>
            <w:r>
              <w:rPr>
                <w:b/>
                <w:u w:val="single"/>
                <w:lang w:eastAsia="en-US"/>
              </w:rPr>
              <w:t xml:space="preserve">В </w:t>
            </w:r>
            <w:r w:rsidR="00172CA8">
              <w:rPr>
                <w:b/>
                <w:u w:val="single"/>
                <w:lang w:eastAsia="en-US"/>
              </w:rPr>
              <w:t>Арбитражный суд ………………………….</w:t>
            </w:r>
          </w:p>
          <w:p w:rsidR="00172CA8" w:rsidRDefault="00172CA8">
            <w:pPr>
              <w:spacing w:line="276" w:lineRule="auto"/>
              <w:rPr>
                <w:i/>
                <w:color w:val="000000" w:themeColor="text1"/>
                <w:lang w:eastAsia="en-US"/>
              </w:rPr>
            </w:pPr>
            <w:r>
              <w:rPr>
                <w:i/>
                <w:color w:val="000000" w:themeColor="text1"/>
                <w:lang w:eastAsia="en-US"/>
              </w:rPr>
              <w:t xml:space="preserve">А д р е с </w:t>
            </w:r>
          </w:p>
        </w:tc>
      </w:tr>
      <w:tr w:rsidR="00172CA8" w:rsidTr="00172CA8">
        <w:trPr>
          <w:trHeight w:val="1411"/>
        </w:trPr>
        <w:tc>
          <w:tcPr>
            <w:tcW w:w="5104" w:type="dxa"/>
          </w:tcPr>
          <w:p w:rsidR="00172CA8" w:rsidRPr="00172CA8" w:rsidRDefault="00172CA8">
            <w:pPr>
              <w:spacing w:line="276" w:lineRule="auto"/>
              <w:jc w:val="right"/>
              <w:rPr>
                <w:color w:val="000000" w:themeColor="text1"/>
                <w:lang w:eastAsia="en-US"/>
              </w:rPr>
            </w:pPr>
            <w:r w:rsidRPr="00172CA8">
              <w:rPr>
                <w:color w:val="000000" w:themeColor="text1"/>
                <w:u w:val="single"/>
                <w:lang w:eastAsia="en-US"/>
              </w:rPr>
              <w:t>Истец</w:t>
            </w:r>
            <w:r w:rsidRPr="00172CA8">
              <w:rPr>
                <w:color w:val="000000" w:themeColor="text1"/>
                <w:lang w:eastAsia="en-US"/>
              </w:rPr>
              <w:t>:</w:t>
            </w:r>
          </w:p>
          <w:p w:rsidR="00172CA8" w:rsidRDefault="00172CA8">
            <w:pPr>
              <w:spacing w:line="276" w:lineRule="auto"/>
              <w:jc w:val="right"/>
              <w:rPr>
                <w:lang w:eastAsia="en-US"/>
              </w:rPr>
            </w:pPr>
          </w:p>
          <w:p w:rsidR="00172CA8" w:rsidRDefault="00172CA8">
            <w:pPr>
              <w:spacing w:line="276" w:lineRule="auto"/>
              <w:jc w:val="right"/>
              <w:rPr>
                <w:lang w:eastAsia="en-US"/>
              </w:rPr>
            </w:pPr>
            <w:r w:rsidRPr="00172CA8">
              <w:rPr>
                <w:lang w:eastAsia="en-US"/>
              </w:rPr>
              <w:t xml:space="preserve">         </w:t>
            </w:r>
            <w:r w:rsidRPr="00172CA8">
              <w:rPr>
                <w:u w:val="single"/>
                <w:lang w:eastAsia="en-US"/>
              </w:rPr>
              <w:t>Контактные данные представителя истца</w:t>
            </w:r>
            <w:r w:rsidRPr="00172CA8">
              <w:rPr>
                <w:lang w:eastAsia="en-US"/>
              </w:rPr>
              <w:t>:</w:t>
            </w:r>
          </w:p>
          <w:p w:rsidR="00172CA8" w:rsidRDefault="00172CA8">
            <w:pPr>
              <w:spacing w:line="276" w:lineRule="auto"/>
              <w:jc w:val="right"/>
              <w:rPr>
                <w:lang w:eastAsia="en-US"/>
              </w:rPr>
            </w:pPr>
          </w:p>
          <w:p w:rsidR="00172CA8" w:rsidRDefault="00172CA8">
            <w:pPr>
              <w:spacing w:line="276" w:lineRule="auto"/>
              <w:jc w:val="right"/>
              <w:rPr>
                <w:lang w:eastAsia="en-US"/>
              </w:rPr>
            </w:pPr>
          </w:p>
          <w:p w:rsidR="00172CA8" w:rsidRDefault="00172CA8">
            <w:pPr>
              <w:spacing w:line="276" w:lineRule="auto"/>
              <w:jc w:val="right"/>
              <w:rPr>
                <w:lang w:eastAsia="en-US"/>
              </w:rPr>
            </w:pPr>
          </w:p>
          <w:p w:rsidR="00172CA8" w:rsidRPr="00172CA8" w:rsidRDefault="00172CA8" w:rsidP="00172CA8">
            <w:pPr>
              <w:spacing w:line="276" w:lineRule="auto"/>
              <w:jc w:val="right"/>
              <w:rPr>
                <w:lang w:eastAsia="en-US"/>
              </w:rPr>
            </w:pPr>
            <w:r w:rsidRPr="00172CA8">
              <w:rPr>
                <w:u w:val="single"/>
                <w:lang w:eastAsia="en-US"/>
              </w:rPr>
              <w:t>Ответчик</w:t>
            </w:r>
            <w:r>
              <w:rPr>
                <w:lang w:eastAsia="en-US"/>
              </w:rPr>
              <w:t>:</w:t>
            </w:r>
          </w:p>
        </w:tc>
        <w:tc>
          <w:tcPr>
            <w:tcW w:w="5068" w:type="dxa"/>
            <w:hideMark/>
          </w:tcPr>
          <w:p w:rsidR="00172CA8" w:rsidRDefault="00172CA8">
            <w:pPr>
              <w:spacing w:line="276" w:lineRule="auto"/>
              <w:rPr>
                <w:b/>
                <w:color w:val="000000" w:themeColor="text1"/>
                <w:lang w:eastAsia="en-US"/>
              </w:rPr>
            </w:pPr>
            <w:r>
              <w:rPr>
                <w:b/>
                <w:color w:val="000000" w:themeColor="text1"/>
                <w:lang w:eastAsia="en-US"/>
              </w:rPr>
              <w:t xml:space="preserve">Наименование </w:t>
            </w:r>
          </w:p>
          <w:p w:rsidR="00172CA8" w:rsidRDefault="00172CA8">
            <w:pPr>
              <w:spacing w:line="276" w:lineRule="auto"/>
              <w:rPr>
                <w:i/>
                <w:color w:val="000000" w:themeColor="text1"/>
                <w:lang w:eastAsia="en-US"/>
              </w:rPr>
            </w:pPr>
            <w:r>
              <w:rPr>
                <w:i/>
                <w:color w:val="000000" w:themeColor="text1"/>
                <w:lang w:eastAsia="en-US"/>
              </w:rPr>
              <w:t>А д р е с</w:t>
            </w:r>
          </w:p>
          <w:p w:rsidR="00172CA8" w:rsidRPr="00172CA8" w:rsidRDefault="00172CA8">
            <w:pPr>
              <w:spacing w:line="276" w:lineRule="auto"/>
              <w:rPr>
                <w:b/>
                <w:color w:val="000000" w:themeColor="text1"/>
                <w:lang w:eastAsia="en-US"/>
              </w:rPr>
            </w:pPr>
            <w:r w:rsidRPr="00172CA8">
              <w:rPr>
                <w:b/>
                <w:color w:val="000000" w:themeColor="text1"/>
                <w:lang w:eastAsia="en-US"/>
              </w:rPr>
              <w:t>ФИО</w:t>
            </w:r>
          </w:p>
          <w:p w:rsidR="00172CA8" w:rsidRDefault="00172CA8">
            <w:pPr>
              <w:spacing w:line="276" w:lineRule="auto"/>
              <w:rPr>
                <w:color w:val="000000" w:themeColor="text1"/>
                <w:lang w:eastAsia="en-US"/>
              </w:rPr>
            </w:pPr>
            <w:r>
              <w:rPr>
                <w:color w:val="000000" w:themeColor="text1"/>
                <w:lang w:eastAsia="en-US"/>
              </w:rPr>
              <w:t>Адрес</w:t>
            </w:r>
          </w:p>
          <w:p w:rsidR="00172CA8" w:rsidRDefault="00172CA8">
            <w:pPr>
              <w:spacing w:line="276" w:lineRule="auto"/>
              <w:rPr>
                <w:color w:val="000000" w:themeColor="text1"/>
                <w:lang w:eastAsia="en-US"/>
              </w:rPr>
            </w:pPr>
            <w:r>
              <w:rPr>
                <w:color w:val="000000" w:themeColor="text1"/>
                <w:lang w:eastAsia="en-US"/>
              </w:rPr>
              <w:t xml:space="preserve">Тел.: </w:t>
            </w:r>
          </w:p>
          <w:p w:rsidR="00172CA8" w:rsidRDefault="00172CA8">
            <w:pPr>
              <w:spacing w:line="276" w:lineRule="auto"/>
              <w:rPr>
                <w:color w:val="000000" w:themeColor="text1"/>
                <w:lang w:eastAsia="en-US"/>
              </w:rPr>
            </w:pPr>
            <w:r>
              <w:rPr>
                <w:color w:val="000000" w:themeColor="text1"/>
                <w:lang w:eastAsia="en-US"/>
              </w:rPr>
              <w:t>Эл. почта:</w:t>
            </w:r>
          </w:p>
          <w:p w:rsidR="00172CA8" w:rsidRPr="00172CA8" w:rsidRDefault="00172CA8">
            <w:pPr>
              <w:spacing w:line="276" w:lineRule="auto"/>
              <w:rPr>
                <w:b/>
                <w:color w:val="000000" w:themeColor="text1"/>
                <w:lang w:eastAsia="en-US"/>
              </w:rPr>
            </w:pPr>
            <w:r w:rsidRPr="00172CA8">
              <w:rPr>
                <w:b/>
                <w:color w:val="000000" w:themeColor="text1"/>
                <w:lang w:eastAsia="en-US"/>
              </w:rPr>
              <w:t>Наименование</w:t>
            </w:r>
          </w:p>
        </w:tc>
      </w:tr>
      <w:tr w:rsidR="00172CA8" w:rsidTr="00172CA8">
        <w:trPr>
          <w:trHeight w:val="1416"/>
        </w:trPr>
        <w:tc>
          <w:tcPr>
            <w:tcW w:w="5104" w:type="dxa"/>
          </w:tcPr>
          <w:p w:rsidR="00172CA8" w:rsidRDefault="00172CA8" w:rsidP="00172CA8">
            <w:pPr>
              <w:spacing w:line="276" w:lineRule="auto"/>
              <w:rPr>
                <w:color w:val="000000" w:themeColor="text1"/>
                <w:lang w:eastAsia="en-US"/>
              </w:rPr>
            </w:pPr>
            <w:r>
              <w:rPr>
                <w:color w:val="000000" w:themeColor="text1"/>
                <w:lang w:eastAsia="en-US"/>
              </w:rPr>
              <w:t xml:space="preserve">         </w:t>
            </w:r>
          </w:p>
          <w:p w:rsidR="00172CA8" w:rsidRDefault="00172CA8" w:rsidP="00172CA8">
            <w:pPr>
              <w:spacing w:line="276" w:lineRule="auto"/>
              <w:rPr>
                <w:b/>
                <w:lang w:eastAsia="en-US"/>
              </w:rPr>
            </w:pPr>
            <w:r>
              <w:rPr>
                <w:lang w:eastAsia="en-US"/>
              </w:rPr>
              <w:t xml:space="preserve">                                                                   </w:t>
            </w:r>
            <w:r w:rsidRPr="00172CA8">
              <w:rPr>
                <w:b/>
                <w:lang w:eastAsia="en-US"/>
              </w:rPr>
              <w:t>Дело №</w:t>
            </w:r>
          </w:p>
          <w:p w:rsidR="00172CA8" w:rsidRPr="00172CA8" w:rsidRDefault="00172CA8" w:rsidP="00172CA8">
            <w:pPr>
              <w:spacing w:line="276" w:lineRule="auto"/>
              <w:ind w:right="4003"/>
              <w:jc w:val="center"/>
              <w:rPr>
                <w:b/>
                <w:lang w:eastAsia="en-US"/>
              </w:rPr>
            </w:pPr>
          </w:p>
          <w:p w:rsidR="00172CA8" w:rsidRDefault="00172CA8" w:rsidP="00172CA8">
            <w:pPr>
              <w:spacing w:line="276" w:lineRule="auto"/>
              <w:rPr>
                <w:lang w:eastAsia="en-US"/>
              </w:rPr>
            </w:pPr>
          </w:p>
          <w:p w:rsidR="00172CA8" w:rsidRPr="00172CA8" w:rsidRDefault="00172CA8" w:rsidP="00172CA8">
            <w:pPr>
              <w:spacing w:line="276" w:lineRule="auto"/>
              <w:rPr>
                <w:lang w:eastAsia="en-US"/>
              </w:rPr>
            </w:pPr>
          </w:p>
        </w:tc>
        <w:tc>
          <w:tcPr>
            <w:tcW w:w="5068" w:type="dxa"/>
            <w:hideMark/>
          </w:tcPr>
          <w:p w:rsidR="00172CA8" w:rsidRPr="00172CA8" w:rsidRDefault="00172CA8">
            <w:pPr>
              <w:spacing w:line="276" w:lineRule="auto"/>
              <w:rPr>
                <w:i/>
                <w:lang w:eastAsia="en-US"/>
              </w:rPr>
            </w:pPr>
            <w:r w:rsidRPr="00172CA8">
              <w:rPr>
                <w:i/>
                <w:lang w:eastAsia="en-US"/>
              </w:rPr>
              <w:t>А д р е с</w:t>
            </w:r>
          </w:p>
          <w:p w:rsidR="00172CA8" w:rsidRPr="00172CA8" w:rsidRDefault="00172CA8">
            <w:pPr>
              <w:spacing w:line="276" w:lineRule="auto"/>
              <w:rPr>
                <w:b/>
                <w:lang w:eastAsia="en-US"/>
              </w:rPr>
            </w:pPr>
            <w:r w:rsidRPr="00172CA8">
              <w:rPr>
                <w:b/>
                <w:lang w:eastAsia="en-US"/>
              </w:rPr>
              <w:t>АХХ-ХХХХХХ/20ХХ</w:t>
            </w:r>
          </w:p>
        </w:tc>
      </w:tr>
    </w:tbl>
    <w:p w:rsidR="00425B51" w:rsidRDefault="005C57AD" w:rsidP="005C57AD">
      <w:pPr>
        <w:jc w:val="center"/>
        <w:rPr>
          <w:b/>
        </w:rPr>
      </w:pPr>
      <w:r w:rsidRPr="005C57AD">
        <w:rPr>
          <w:b/>
        </w:rPr>
        <w:t>ХОДАТАЙСТВО</w:t>
      </w:r>
    </w:p>
    <w:p w:rsidR="005C57AD" w:rsidRDefault="005C57AD" w:rsidP="005C57AD">
      <w:pPr>
        <w:jc w:val="center"/>
        <w:rPr>
          <w:b/>
        </w:rPr>
      </w:pPr>
      <w:r>
        <w:rPr>
          <w:b/>
        </w:rPr>
        <w:t>о приобщении доказательства</w:t>
      </w:r>
    </w:p>
    <w:p w:rsidR="005C57AD" w:rsidRDefault="005C57AD" w:rsidP="005C57AD">
      <w:pPr>
        <w:jc w:val="center"/>
        <w:rPr>
          <w:b/>
        </w:rPr>
      </w:pPr>
      <w:r>
        <w:rPr>
          <w:b/>
        </w:rPr>
        <w:t>(</w:t>
      </w:r>
      <w:r w:rsidRPr="005C57AD">
        <w:rPr>
          <w:b/>
        </w:rPr>
        <w:t>Исследовани</w:t>
      </w:r>
      <w:r>
        <w:rPr>
          <w:b/>
        </w:rPr>
        <w:t xml:space="preserve">я стоимости услуг по представлению </w:t>
      </w:r>
      <w:r w:rsidRPr="005C57AD">
        <w:rPr>
          <w:b/>
        </w:rPr>
        <w:t>интересов в судах</w:t>
      </w:r>
      <w:r>
        <w:rPr>
          <w:b/>
        </w:rPr>
        <w:t>)</w:t>
      </w:r>
    </w:p>
    <w:p w:rsidR="005C57AD" w:rsidRDefault="005C57AD" w:rsidP="005C57AD">
      <w:pPr>
        <w:jc w:val="center"/>
        <w:rPr>
          <w:b/>
        </w:rPr>
      </w:pPr>
    </w:p>
    <w:p w:rsidR="005C57AD" w:rsidRDefault="00A15F81" w:rsidP="00A15F81">
      <w:pPr>
        <w:spacing w:line="276" w:lineRule="auto"/>
        <w:ind w:firstLine="709"/>
        <w:jc w:val="both"/>
      </w:pPr>
      <w:r>
        <w:t>В Арбитражном суде …… рассматривается</w:t>
      </w:r>
      <w:r w:rsidR="00D37283">
        <w:t>/рассмотрено</w:t>
      </w:r>
      <w:r>
        <w:t xml:space="preserve"> дело № АХХ-ХХХХХХ/20ХХ по исковому заявлению ______</w:t>
      </w:r>
      <w:r w:rsidR="00990082">
        <w:t xml:space="preserve">(далее – </w:t>
      </w:r>
      <w:r w:rsidR="00990082" w:rsidRPr="00407558">
        <w:rPr>
          <w:b/>
        </w:rPr>
        <w:t>Истец</w:t>
      </w:r>
      <w:r w:rsidR="00990082">
        <w:t>)</w:t>
      </w:r>
      <w:r>
        <w:t xml:space="preserve"> к ______ о ____________</w:t>
      </w:r>
      <w:r w:rsidR="00990082">
        <w:t>(</w:t>
      </w:r>
      <w:r w:rsidR="00990082" w:rsidRPr="00407558">
        <w:rPr>
          <w:b/>
        </w:rPr>
        <w:t>Ответчик</w:t>
      </w:r>
      <w:r w:rsidR="00990082">
        <w:t>)</w:t>
      </w:r>
      <w:r>
        <w:t>.</w:t>
      </w:r>
    </w:p>
    <w:p w:rsidR="00A15F81" w:rsidRDefault="00A15F81" w:rsidP="00A15F81">
      <w:pPr>
        <w:spacing w:line="276" w:lineRule="auto"/>
        <w:ind w:firstLine="709"/>
        <w:jc w:val="both"/>
      </w:pPr>
      <w:r>
        <w:t>В настоящее время Истцом</w:t>
      </w:r>
      <w:r w:rsidR="00D37283">
        <w:t>/Ответчиком</w:t>
      </w:r>
      <w:r>
        <w:t xml:space="preserve"> заявлено требование о взыскании судебных расходов в размере ____, в том числе расходов на оплату юридических услуг в размере ____.</w:t>
      </w:r>
    </w:p>
    <w:p w:rsidR="000E1E10" w:rsidRDefault="000E1E10" w:rsidP="00A15F81">
      <w:pPr>
        <w:spacing w:line="276" w:lineRule="auto"/>
        <w:ind w:firstLine="709"/>
        <w:jc w:val="both"/>
      </w:pPr>
      <w:r>
        <w:t>Согласно статье 41 АПК РФ лица, участвующие в деле, вправе, в том числе, представлять доказательства, заявлять ходатайства.</w:t>
      </w:r>
    </w:p>
    <w:p w:rsidR="00A15F81" w:rsidRDefault="00A15F81" w:rsidP="00A15F81">
      <w:pPr>
        <w:spacing w:line="276" w:lineRule="auto"/>
        <w:ind w:firstLine="709"/>
        <w:jc w:val="both"/>
      </w:pPr>
      <w:r>
        <w:t>Согласно части 1 статьи 110 АПК РФ с</w:t>
      </w:r>
      <w:r w:rsidRPr="00A15F81">
        <w:t>удебные расходы, понесенные лицами, участвующими в деле, в пользу которых принят судебный акт, взыскиваются арбитражным судом со стороны.</w:t>
      </w:r>
    </w:p>
    <w:p w:rsidR="00A15F81" w:rsidRPr="00407558" w:rsidRDefault="00A15F81" w:rsidP="00A15F81">
      <w:pPr>
        <w:spacing w:line="276" w:lineRule="auto"/>
        <w:ind w:firstLine="709"/>
        <w:jc w:val="both"/>
      </w:pPr>
      <w:r>
        <w:t>Согласно части 2 той же статьи р</w:t>
      </w:r>
      <w:r w:rsidRPr="00A15F81">
        <w:t>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980C17" w:rsidRPr="00980C17" w:rsidRDefault="00980C17" w:rsidP="00980C17">
      <w:pPr>
        <w:spacing w:line="276" w:lineRule="auto"/>
        <w:ind w:firstLine="709"/>
        <w:jc w:val="both"/>
      </w:pPr>
      <w:r>
        <w:t xml:space="preserve">Исходя из пункта 20 Информационное письмо Президиума ВАС РФ от 13.08.2004 № 82 «О некоторых вопросах применения Арбитражного процессуального кодекса Российской Федерации», при определении разумных пределов расходов на оплату услуг представителя могут приниматься во внимание, в частности, сложившаяся в регионе стоимость оплаты услуг адвокатов; имеющиеся сведения статистических органов о ценах на рынке юридических услуг. </w:t>
      </w:r>
    </w:p>
    <w:p w:rsidR="00A15F81" w:rsidRDefault="00A15F81" w:rsidP="00A15F81">
      <w:pPr>
        <w:spacing w:line="276" w:lineRule="auto"/>
        <w:ind w:firstLine="709"/>
        <w:jc w:val="both"/>
      </w:pPr>
      <w:r>
        <w:t>Согласно пункту 13 Постановления Пленума Верховного Суда РФ от 21 января 2016 г. № 1 «О некоторых вопросах применения законодательства о возмещении издержек, связанных с рассмотрением дела»</w:t>
      </w:r>
      <w:r w:rsidR="00E1753B" w:rsidRPr="00E1753B">
        <w:t xml:space="preserve"> </w:t>
      </w:r>
      <w:r w:rsidR="00E1753B">
        <w:t>р</w:t>
      </w:r>
      <w:r w:rsidR="00E1753B" w:rsidRPr="00E1753B">
        <w:t>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127047" w:rsidRDefault="00DF5D0B" w:rsidP="00A15F81">
      <w:pPr>
        <w:spacing w:line="276" w:lineRule="auto"/>
        <w:ind w:firstLine="709"/>
        <w:jc w:val="both"/>
      </w:pPr>
      <w:r>
        <w:lastRenderedPageBreak/>
        <w:t xml:space="preserve">С учетом </w:t>
      </w:r>
      <w:r w:rsidR="004A279B">
        <w:t>вышеуказанных разъяснений высших судебных инстанций</w:t>
      </w:r>
      <w:r>
        <w:t xml:space="preserve"> </w:t>
      </w:r>
      <w:r w:rsidR="00D37283">
        <w:t xml:space="preserve">Истец/Ответчик </w:t>
      </w:r>
      <w:r>
        <w:t>полагает необходимым приобщить к материалам дела и исследовать при разрешении вопроса о взыскании судебных расходов результаты</w:t>
      </w:r>
      <w:r>
        <w:rPr>
          <w:rStyle w:val="af0"/>
        </w:rPr>
        <w:footnoteReference w:id="1"/>
      </w:r>
      <w:r>
        <w:t xml:space="preserve"> ежегодно</w:t>
      </w:r>
      <w:r w:rsidR="00495081">
        <w:t>го</w:t>
      </w:r>
      <w:r>
        <w:t xml:space="preserve"> исследовани</w:t>
      </w:r>
      <w:r w:rsidR="00495081">
        <w:t>я</w:t>
      </w:r>
      <w:r w:rsidRPr="00330FCA">
        <w:t xml:space="preserve"> по изучению стоимости услуг по судебному представительству с целью определения средних (рыночных) показателей</w:t>
      </w:r>
      <w:r>
        <w:t xml:space="preserve"> по различным категориям споров в различных регионах Российской Федерации (</w:t>
      </w:r>
      <w:r w:rsidRPr="00495081">
        <w:rPr>
          <w:b/>
          <w:i/>
        </w:rPr>
        <w:t>далее – Исследование</w:t>
      </w:r>
      <w:r>
        <w:t xml:space="preserve">), проводимого экспертной группой </w:t>
      </w:r>
      <w:r>
        <w:rPr>
          <w:lang w:val="en-US"/>
        </w:rPr>
        <w:t>VETA</w:t>
      </w:r>
      <w:r>
        <w:t xml:space="preserve"> </w:t>
      </w:r>
      <w:r w:rsidR="00127047">
        <w:t>(ООО «Оценочная компания «ВЕТА»)</w:t>
      </w:r>
      <w:r>
        <w:t>.</w:t>
      </w:r>
    </w:p>
    <w:p w:rsidR="004B4293" w:rsidRDefault="004B4293" w:rsidP="00A15F81">
      <w:pPr>
        <w:spacing w:line="276" w:lineRule="auto"/>
        <w:ind w:firstLine="709"/>
        <w:jc w:val="both"/>
      </w:pPr>
      <w:r w:rsidRPr="004B4293">
        <w:t xml:space="preserve">Для </w:t>
      </w:r>
      <w:r>
        <w:t xml:space="preserve">подготовки Исследования </w:t>
      </w:r>
      <w:r w:rsidRPr="004B4293">
        <w:t xml:space="preserve">был создан экспертный совет, куда вошли представители </w:t>
      </w:r>
      <w:r w:rsidR="00D35F7F">
        <w:t xml:space="preserve">Федеральной палаты адвокатов, </w:t>
      </w:r>
      <w:bookmarkStart w:id="0" w:name="_GoBack"/>
      <w:bookmarkEnd w:id="0"/>
      <w:r w:rsidRPr="004B4293">
        <w:t xml:space="preserve">Общественного совета при Министерстве юстиции РФ, Гильдии российских адвокатов, Института бизнес-права Московского государственного юридического университета (МГЮА) им. О. Е. </w:t>
      </w:r>
      <w:proofErr w:type="spellStart"/>
      <w:r w:rsidRPr="004B4293">
        <w:t>Кутафина</w:t>
      </w:r>
      <w:proofErr w:type="spellEnd"/>
      <w:r w:rsidRPr="004B4293">
        <w:t>, Социальной сети юристов Zakon.ru, порталов «Российская газета» и ГАРАНТ.РУ, журнала «Корпоративный юрист», ЭСМИ «</w:t>
      </w:r>
      <w:proofErr w:type="spellStart"/>
      <w:r w:rsidRPr="004B4293">
        <w:t>Закония</w:t>
      </w:r>
      <w:proofErr w:type="spellEnd"/>
      <w:r w:rsidRPr="004B4293">
        <w:t>». С целью структурировать информацию о стоимости услуг по представительству интересов в суде был проведен опрос компаний, адвокатов и адвокатских образований, для которых услуги по представлению интересов в судах</w:t>
      </w:r>
      <w:r w:rsidR="00AD18AB">
        <w:t xml:space="preserve"> </w:t>
      </w:r>
      <w:r w:rsidRPr="004B4293">
        <w:t>являются основным видом деятельности. Сбор и обработка информации были проведены с использованием методов социологических исследований.</w:t>
      </w:r>
    </w:p>
    <w:p w:rsidR="004B4293" w:rsidRDefault="004A279B" w:rsidP="00A15F81">
      <w:pPr>
        <w:spacing w:line="276" w:lineRule="auto"/>
        <w:ind w:firstLine="709"/>
        <w:jc w:val="both"/>
      </w:pPr>
      <w:r>
        <w:t>Так, например, в Исследовании за 2018 г. по г. Москве принимал</w:t>
      </w:r>
      <w:r w:rsidR="00AD18AB">
        <w:t>и</w:t>
      </w:r>
      <w:r>
        <w:t xml:space="preserve"> участие 83</w:t>
      </w:r>
      <w:r w:rsidRPr="004A279B">
        <w:t xml:space="preserve"> адвоката, юриста и их образований</w:t>
      </w:r>
      <w:r>
        <w:t xml:space="preserve"> (юридические фирмы, коллегии адвокатов и др.)</w:t>
      </w:r>
      <w:r w:rsidR="004B4293">
        <w:t>.</w:t>
      </w:r>
      <w:r>
        <w:t xml:space="preserve"> </w:t>
      </w:r>
      <w:r w:rsidR="004B4293" w:rsidRPr="004B4293">
        <w:t xml:space="preserve">В связи с этим исследования стоимости рынка юридических услуг, подобные </w:t>
      </w:r>
      <w:r w:rsidR="00990082">
        <w:t>И</w:t>
      </w:r>
      <w:r w:rsidR="004B4293">
        <w:t>сследованию экспертной группы VETA</w:t>
      </w:r>
      <w:r w:rsidR="004B4293" w:rsidRPr="004B4293">
        <w:t xml:space="preserve">, являются необходимым ориентиром, позволяющим определить стоимость представительства по конкретному судебному делу. </w:t>
      </w:r>
    </w:p>
    <w:p w:rsidR="004A279B" w:rsidRPr="00407558" w:rsidRDefault="004B4293" w:rsidP="00A15F81">
      <w:pPr>
        <w:spacing w:line="276" w:lineRule="auto"/>
        <w:ind w:firstLine="709"/>
        <w:jc w:val="both"/>
        <w:rPr>
          <w:b/>
        </w:rPr>
      </w:pPr>
      <w:r w:rsidRPr="00407558">
        <w:rPr>
          <w:b/>
        </w:rPr>
        <w:t>В настоящее время Исследование является уникальным для России, так как аналогов ему нет.</w:t>
      </w:r>
    </w:p>
    <w:p w:rsidR="00330FCA" w:rsidRDefault="00127047" w:rsidP="00A15F81">
      <w:pPr>
        <w:spacing w:line="276" w:lineRule="auto"/>
        <w:ind w:firstLine="709"/>
        <w:jc w:val="both"/>
      </w:pPr>
      <w:r>
        <w:t xml:space="preserve">Принимая во внимание, что в соответствии с </w:t>
      </w:r>
      <w:r w:rsidR="00DF5D0B">
        <w:t>частью </w:t>
      </w:r>
      <w:r>
        <w:t>2 ст</w:t>
      </w:r>
      <w:r w:rsidR="003B1323">
        <w:t>атьи</w:t>
      </w:r>
      <w:r>
        <w:t> 64 АПК РФ в качестве доказательств допускаются письменные доказательства,</w:t>
      </w:r>
      <w:r w:rsidR="00E0652C">
        <w:t xml:space="preserve"> под которыми понимаются </w:t>
      </w:r>
      <w:r w:rsidR="00E0652C" w:rsidRPr="00486458">
        <w:rPr>
          <w:i/>
        </w:rPr>
        <w:t>«содержащие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w:t>
      </w:r>
      <w:r w:rsidR="00E0652C">
        <w:t xml:space="preserve"> (ст</w:t>
      </w:r>
      <w:r w:rsidR="003B1323">
        <w:t>атья </w:t>
      </w:r>
      <w:r w:rsidR="00E0652C">
        <w:t xml:space="preserve">75 АПК РФ), </w:t>
      </w:r>
      <w:r w:rsidR="00DF5D0B">
        <w:t xml:space="preserve">данное </w:t>
      </w:r>
      <w:r w:rsidR="00330FCA">
        <w:t xml:space="preserve">ежегодное </w:t>
      </w:r>
      <w:r w:rsidR="00DF5D0B">
        <w:t xml:space="preserve">Исследование регулярно </w:t>
      </w:r>
      <w:r w:rsidR="00E0652C">
        <w:t xml:space="preserve">принимается </w:t>
      </w:r>
      <w:r w:rsidR="00330FCA">
        <w:t>арбитражными судами России</w:t>
      </w:r>
      <w:r w:rsidR="00E0652C">
        <w:t xml:space="preserve"> в качестве письменного доказательства по делу и используется в дальнейшем</w:t>
      </w:r>
      <w:r w:rsidR="00330FCA">
        <w:t xml:space="preserve"> при </w:t>
      </w:r>
      <w:r w:rsidR="00330FCA" w:rsidRPr="00330FCA">
        <w:t xml:space="preserve">рассмотрении споров по взысканию судебных расходов с целью определения </w:t>
      </w:r>
      <w:r w:rsidR="00E0652C">
        <w:t xml:space="preserve">степени </w:t>
      </w:r>
      <w:r w:rsidR="00330FCA" w:rsidRPr="00330FCA">
        <w:t>обоснованности заявленных расходов</w:t>
      </w:r>
      <w:r w:rsidR="00330FCA">
        <w:t>.</w:t>
      </w:r>
    </w:p>
    <w:p w:rsidR="00330FCA" w:rsidRDefault="00330FCA" w:rsidP="00A15F81">
      <w:pPr>
        <w:spacing w:line="276" w:lineRule="auto"/>
        <w:ind w:firstLine="709"/>
        <w:jc w:val="both"/>
      </w:pPr>
      <w:r>
        <w:t xml:space="preserve">Так, например, в </w:t>
      </w:r>
      <w:r w:rsidR="00DF5D0B">
        <w:t xml:space="preserve">определении </w:t>
      </w:r>
      <w:r>
        <w:t>Арбитражного суда г. Москвы в Определении от 24</w:t>
      </w:r>
      <w:r w:rsidR="00381E80">
        <w:t> </w:t>
      </w:r>
      <w:r>
        <w:t>июня 2019 г. по делу № А40-</w:t>
      </w:r>
      <w:r w:rsidRPr="00330FCA">
        <w:t>205533/15-4-616 Б</w:t>
      </w:r>
      <w:r>
        <w:t xml:space="preserve"> было отмечено:</w:t>
      </w:r>
    </w:p>
    <w:p w:rsidR="00330FCA" w:rsidRPr="00330FCA" w:rsidRDefault="00330FCA" w:rsidP="00A15F81">
      <w:pPr>
        <w:spacing w:line="276" w:lineRule="auto"/>
        <w:ind w:firstLine="709"/>
        <w:jc w:val="both"/>
        <w:rPr>
          <w:i/>
        </w:rPr>
      </w:pPr>
      <w:r w:rsidRPr="00330FCA">
        <w:rPr>
          <w:i/>
        </w:rPr>
        <w:t xml:space="preserve">«За основу анализа было взято ежегодное исследование стоимости услуг по представлению интересов в суде за 2017 г. для Москвы и Московской области, подготовленное ООО «Экспертная группа «ВЕТА». </w:t>
      </w:r>
    </w:p>
    <w:p w:rsidR="00330FCA" w:rsidRPr="00330FCA" w:rsidRDefault="00330FCA" w:rsidP="00A15F81">
      <w:pPr>
        <w:spacing w:line="276" w:lineRule="auto"/>
        <w:ind w:firstLine="709"/>
        <w:jc w:val="both"/>
        <w:rPr>
          <w:b/>
          <w:i/>
        </w:rPr>
      </w:pPr>
      <w:r w:rsidRPr="00330FCA">
        <w:rPr>
          <w:b/>
          <w:i/>
        </w:rPr>
        <w:t xml:space="preserve">Исследования стоимости услуг по представлению интересов в суде экспертной группы VETA берутся во внимание Арбитражными судами при рассмотрении споров по взысканию судебных расходов с целью определения обоснованности заявленных расходов на услуги, что подтверждается следующей судебной практикой: определение АС города Москвы по делу № А40-11530/14-175-17Б от 17.12.2018, </w:t>
      </w:r>
      <w:r w:rsidRPr="00330FCA">
        <w:rPr>
          <w:b/>
          <w:i/>
        </w:rPr>
        <w:lastRenderedPageBreak/>
        <w:t xml:space="preserve">определение АС города Санкт-Петербурга и Ленинградской области по делу </w:t>
      </w:r>
      <w:r w:rsidR="00381E80" w:rsidRPr="00330FCA">
        <w:rPr>
          <w:b/>
          <w:i/>
        </w:rPr>
        <w:t>№</w:t>
      </w:r>
      <w:r w:rsidR="00381E80">
        <w:rPr>
          <w:b/>
          <w:i/>
        </w:rPr>
        <w:t> </w:t>
      </w:r>
      <w:r w:rsidRPr="00330FCA">
        <w:rPr>
          <w:b/>
          <w:i/>
        </w:rPr>
        <w:t>А56</w:t>
      </w:r>
      <w:r w:rsidR="00381E80">
        <w:rPr>
          <w:b/>
          <w:i/>
        </w:rPr>
        <w:noBreakHyphen/>
      </w:r>
      <w:r w:rsidRPr="00330FCA">
        <w:rPr>
          <w:b/>
          <w:i/>
        </w:rPr>
        <w:t xml:space="preserve">89172/2016 от 21.06.2018, постановление 9 AAC по делу №A40-188321/16 от 14.02.2018, постановление 1 AAC по делу №A43-25699/2017 от 22.08.2018, определение AC Псковской области по делу № А52-962/2018 от 20.04.2018. </w:t>
      </w:r>
    </w:p>
    <w:p w:rsidR="00330FCA" w:rsidRDefault="00330FCA" w:rsidP="00A15F81">
      <w:pPr>
        <w:spacing w:line="276" w:lineRule="auto"/>
        <w:ind w:firstLine="709"/>
        <w:jc w:val="both"/>
        <w:rPr>
          <w:i/>
        </w:rPr>
      </w:pPr>
      <w:r w:rsidRPr="00330FCA">
        <w:rPr>
          <w:i/>
        </w:rPr>
        <w:t>Таким образом, представленные исследования могут служить ориентиром для определения среднерыночной стоимости юридических услуг, оказываемых участниками рынка».</w:t>
      </w:r>
    </w:p>
    <w:p w:rsidR="000D19F4" w:rsidRPr="00330FCA" w:rsidRDefault="000D19F4" w:rsidP="00A15F81">
      <w:pPr>
        <w:spacing w:line="276" w:lineRule="auto"/>
        <w:ind w:firstLine="709"/>
        <w:jc w:val="both"/>
        <w:rPr>
          <w:i/>
        </w:rPr>
      </w:pPr>
    </w:p>
    <w:p w:rsidR="00330FCA" w:rsidRDefault="00DF5D0B" w:rsidP="000D19F4">
      <w:pPr>
        <w:spacing w:line="276" w:lineRule="auto"/>
        <w:ind w:firstLine="709"/>
        <w:jc w:val="both"/>
      </w:pPr>
      <w:r>
        <w:t xml:space="preserve">Результаты </w:t>
      </w:r>
      <w:r w:rsidR="000D19F4">
        <w:t>Исследования стоимости услуг по представлению интересов в судах</w:t>
      </w:r>
      <w:r w:rsidR="000D19F4" w:rsidRPr="000D19F4">
        <w:t xml:space="preserve"> </w:t>
      </w:r>
      <w:r w:rsidR="000D19F4">
        <w:t xml:space="preserve">использовались судами также, например, в деле № А43-27737/2017. Так, в </w:t>
      </w:r>
      <w:r>
        <w:t>п</w:t>
      </w:r>
      <w:r w:rsidRPr="000D19F4">
        <w:t>остановлени</w:t>
      </w:r>
      <w:r>
        <w:t>и</w:t>
      </w:r>
      <w:r w:rsidRPr="000D19F4">
        <w:t xml:space="preserve"> </w:t>
      </w:r>
      <w:r w:rsidR="000D19F4" w:rsidRPr="000D19F4">
        <w:t xml:space="preserve">Первого арбитражного апелляционного суда от </w:t>
      </w:r>
      <w:r w:rsidR="000D19F4">
        <w:t>6 декабря 2018 г. №</w:t>
      </w:r>
      <w:r w:rsidR="000D19F4" w:rsidRPr="000D19F4">
        <w:t xml:space="preserve"> 01АП-795/18 по </w:t>
      </w:r>
      <w:r w:rsidR="000D19F4">
        <w:t>указанному делу отмечено:</w:t>
      </w:r>
    </w:p>
    <w:p w:rsidR="000D19F4" w:rsidRPr="000D19F4" w:rsidRDefault="000D19F4" w:rsidP="000D19F4">
      <w:pPr>
        <w:spacing w:line="276" w:lineRule="auto"/>
        <w:ind w:firstLine="709"/>
        <w:jc w:val="both"/>
        <w:rPr>
          <w:i/>
        </w:rPr>
      </w:pPr>
      <w:r>
        <w:t>«</w:t>
      </w:r>
      <w:r w:rsidRPr="000D19F4">
        <w:rPr>
          <w:i/>
        </w:rPr>
        <w:t>Общество обратилось в арбитражный суд с заявлением о взыскании с Инспекции судебных расходов в сумме 150 000 рублей.</w:t>
      </w:r>
    </w:p>
    <w:p w:rsidR="000D19F4" w:rsidRDefault="000D19F4" w:rsidP="000D19F4">
      <w:pPr>
        <w:spacing w:line="276" w:lineRule="auto"/>
        <w:ind w:firstLine="709"/>
        <w:jc w:val="both"/>
        <w:rPr>
          <w:i/>
        </w:rPr>
      </w:pPr>
      <w:r w:rsidRPr="000D19F4">
        <w:rPr>
          <w:i/>
        </w:rPr>
        <w:t>Определением Арбитражного суда Нижегородской области от 12.10.2018 заявление частично удовлетворено, с Инспекции в пользу Общества подлежит взысканию 130 000 рублей судебных расходов.</w:t>
      </w:r>
    </w:p>
    <w:p w:rsidR="000D19F4" w:rsidRPr="000D19F4" w:rsidRDefault="000D19F4" w:rsidP="000D19F4">
      <w:pPr>
        <w:spacing w:line="276" w:lineRule="auto"/>
        <w:ind w:firstLine="709"/>
        <w:jc w:val="both"/>
        <w:rPr>
          <w:i/>
        </w:rPr>
      </w:pPr>
      <w:r>
        <w:rPr>
          <w:i/>
        </w:rPr>
        <w:t>…</w:t>
      </w:r>
    </w:p>
    <w:p w:rsidR="000D19F4" w:rsidRPr="000D19F4" w:rsidRDefault="000D19F4" w:rsidP="000D19F4">
      <w:pPr>
        <w:spacing w:line="276" w:lineRule="auto"/>
        <w:ind w:firstLine="709"/>
        <w:jc w:val="both"/>
        <w:rPr>
          <w:i/>
        </w:rPr>
      </w:pPr>
      <w:r w:rsidRPr="000D19F4">
        <w:rPr>
          <w:i/>
        </w:rPr>
        <w:t>Оценив в соответствии с частью 1 статьи 71 АПК РФ представленные доказательства, обстоятельства дела, характер и объем выполненной представителем работы, сложность дела, количество судебных заседаний, с учетом баланса имущественных интересов лиц, участвующих в деле, суд определил, что судебные расходы подлежат возмещению в сумме 130 000 рублей, указанная сумма не превышает разумных пределов.</w:t>
      </w:r>
    </w:p>
    <w:p w:rsidR="000D19F4" w:rsidRPr="000D19F4" w:rsidRDefault="000D19F4" w:rsidP="000D19F4">
      <w:pPr>
        <w:spacing w:line="276" w:lineRule="auto"/>
        <w:ind w:firstLine="709"/>
        <w:jc w:val="both"/>
        <w:rPr>
          <w:b/>
          <w:i/>
        </w:rPr>
      </w:pPr>
      <w:r w:rsidRPr="000D19F4">
        <w:rPr>
          <w:b/>
          <w:i/>
        </w:rPr>
        <w:t>При определении разумных и соразмерных пределов стоимости услуг представителя суд исходил из средней стоимости аналогичных юридических услуг на рынке в г. Нижнем Новгороде, с учетом сведений, подготовленным оценочной компанией "</w:t>
      </w:r>
      <w:proofErr w:type="spellStart"/>
      <w:r w:rsidRPr="000D19F4">
        <w:rPr>
          <w:b/>
          <w:i/>
        </w:rPr>
        <w:t>Вета</w:t>
      </w:r>
      <w:proofErr w:type="spellEnd"/>
      <w:r w:rsidRPr="000D19F4">
        <w:rPr>
          <w:b/>
          <w:i/>
        </w:rPr>
        <w:t>".</w:t>
      </w:r>
    </w:p>
    <w:p w:rsidR="000D19F4" w:rsidRDefault="000D19F4" w:rsidP="000D19F4">
      <w:pPr>
        <w:spacing w:line="276" w:lineRule="auto"/>
        <w:ind w:firstLine="709"/>
        <w:jc w:val="both"/>
      </w:pPr>
      <w:r w:rsidRPr="000D19F4">
        <w:rPr>
          <w:b/>
          <w:i/>
        </w:rPr>
        <w:t>С учетом изложенного судебные расходы Общества, связанные с представлением его интересов в арбитражном суде в сумме 130 000 рублей, подтверждены документально, связаны с рассмотрением дела в суде и соответствуют критерию разумности</w:t>
      </w:r>
      <w:r>
        <w:t>».</w:t>
      </w:r>
    </w:p>
    <w:p w:rsidR="000D19F4" w:rsidRDefault="000D19F4" w:rsidP="000D19F4">
      <w:pPr>
        <w:spacing w:line="276" w:lineRule="auto"/>
        <w:ind w:firstLine="709"/>
        <w:jc w:val="both"/>
      </w:pPr>
    </w:p>
    <w:p w:rsidR="000D19F4" w:rsidRDefault="00DF5D0B" w:rsidP="000D19F4">
      <w:pPr>
        <w:spacing w:line="276" w:lineRule="auto"/>
        <w:ind w:firstLine="709"/>
        <w:jc w:val="both"/>
      </w:pPr>
      <w:r>
        <w:t xml:space="preserve">Другим примером использования результатов Исследования является постановление Девятого арбитражного апелляционного суда </w:t>
      </w:r>
      <w:r w:rsidR="000D19F4">
        <w:t>от 14 февраля 2018 г. по делу № А40-188231/16-159-1597:</w:t>
      </w:r>
    </w:p>
    <w:p w:rsidR="000D19F4" w:rsidRPr="000D19F4" w:rsidRDefault="000D19F4" w:rsidP="000D19F4">
      <w:pPr>
        <w:spacing w:line="276" w:lineRule="auto"/>
        <w:ind w:firstLine="709"/>
        <w:jc w:val="both"/>
        <w:rPr>
          <w:i/>
        </w:rPr>
      </w:pPr>
      <w:r>
        <w:t>«</w:t>
      </w:r>
      <w:r w:rsidRPr="000D19F4">
        <w:rPr>
          <w:b/>
          <w:i/>
        </w:rPr>
        <w:t>Заявитель в обоснование разумности понесённых расходов представил «Ежегодное исследование стоимости услуг по представлению интересов в судах Москвы и Московской области в 2016 году», проведённое экспертной группой VETA.</w:t>
      </w:r>
      <w:r w:rsidRPr="000D19F4">
        <w:rPr>
          <w:i/>
        </w:rPr>
        <w:t xml:space="preserve"> </w:t>
      </w:r>
    </w:p>
    <w:p w:rsidR="000D19F4" w:rsidRDefault="000D19F4" w:rsidP="000D19F4">
      <w:pPr>
        <w:spacing w:line="276" w:lineRule="auto"/>
        <w:ind w:firstLine="709"/>
        <w:jc w:val="both"/>
      </w:pPr>
      <w:r w:rsidRPr="000D19F4">
        <w:rPr>
          <w:i/>
        </w:rPr>
        <w:t>Суд первой инстанции пришел к выводу, что заявитель представил доказательства того, что понесенные расходы на представителя соответствуют сложившемуся в Московском регионе диапазону цен на юридические услуги в среднем ценовом сегменте</w:t>
      </w:r>
      <w:r>
        <w:t>»</w:t>
      </w:r>
      <w:r w:rsidRPr="000D19F4">
        <w:t>.</w:t>
      </w:r>
    </w:p>
    <w:p w:rsidR="000D19F4" w:rsidRDefault="000D19F4" w:rsidP="000D19F4">
      <w:pPr>
        <w:spacing w:line="276" w:lineRule="auto"/>
        <w:ind w:firstLine="709"/>
        <w:jc w:val="both"/>
      </w:pPr>
    </w:p>
    <w:p w:rsidR="000D19F4" w:rsidRDefault="000D19F4" w:rsidP="000D19F4">
      <w:pPr>
        <w:spacing w:line="276" w:lineRule="auto"/>
        <w:ind w:firstLine="709"/>
        <w:jc w:val="both"/>
      </w:pPr>
      <w:r>
        <w:t xml:space="preserve">Аналогично использование судами данных </w:t>
      </w:r>
      <w:r w:rsidR="00DF5D0B">
        <w:t xml:space="preserve">ежегодного Исследования </w:t>
      </w:r>
      <w:r>
        <w:t xml:space="preserve">экспертной группы </w:t>
      </w:r>
      <w:r>
        <w:rPr>
          <w:lang w:val="en-US"/>
        </w:rPr>
        <w:t>VETA</w:t>
      </w:r>
      <w:r>
        <w:t xml:space="preserve"> при определении разумных критериев понесенных судебных издержек на </w:t>
      </w:r>
      <w:r>
        <w:lastRenderedPageBreak/>
        <w:t xml:space="preserve">услуги представителей </w:t>
      </w:r>
      <w:r w:rsidR="00990082">
        <w:t xml:space="preserve">отражено </w:t>
      </w:r>
      <w:r>
        <w:t xml:space="preserve">в следующих судебных актах: </w:t>
      </w:r>
      <w:r w:rsidR="00DF5D0B">
        <w:t>п</w:t>
      </w:r>
      <w:r w:rsidR="00DF5D0B" w:rsidRPr="000D19F4">
        <w:t xml:space="preserve">остановление </w:t>
      </w:r>
      <w:r w:rsidRPr="000D19F4">
        <w:t>Первого арбитражного апелляционного суда от 10</w:t>
      </w:r>
      <w:r>
        <w:t xml:space="preserve"> июля </w:t>
      </w:r>
      <w:r w:rsidRPr="000D19F4">
        <w:t>2018</w:t>
      </w:r>
      <w:r>
        <w:t xml:space="preserve"> г. по делу №</w:t>
      </w:r>
      <w:r w:rsidRPr="000D19F4">
        <w:t xml:space="preserve"> А43-2702/2017</w:t>
      </w:r>
      <w:r>
        <w:t xml:space="preserve">; </w:t>
      </w:r>
      <w:r w:rsidR="00DF5D0B">
        <w:t>п</w:t>
      </w:r>
      <w:r w:rsidR="00DF5D0B" w:rsidRPr="000E1E10">
        <w:t xml:space="preserve">остановление </w:t>
      </w:r>
      <w:r w:rsidR="000E1E10" w:rsidRPr="000E1E10">
        <w:t>Первого арбитражного апелляционного суда от 27</w:t>
      </w:r>
      <w:r w:rsidR="000E1E10">
        <w:t xml:space="preserve"> июня </w:t>
      </w:r>
      <w:r w:rsidR="000E1E10" w:rsidRPr="000E1E10">
        <w:t>2017</w:t>
      </w:r>
      <w:r w:rsidR="000E1E10">
        <w:t xml:space="preserve"> г. по делу №</w:t>
      </w:r>
      <w:r w:rsidR="00381E80">
        <w:t> </w:t>
      </w:r>
      <w:r w:rsidR="000E1E10" w:rsidRPr="000E1E10">
        <w:t>А43-13916/2016</w:t>
      </w:r>
      <w:r w:rsidR="000E1E10">
        <w:t xml:space="preserve">; </w:t>
      </w:r>
      <w:r w:rsidR="000E1E10" w:rsidRPr="000E1E10">
        <w:t xml:space="preserve">Постановление </w:t>
      </w:r>
      <w:r w:rsidR="00DF5D0B">
        <w:t>п</w:t>
      </w:r>
      <w:r w:rsidR="00DF5D0B" w:rsidRPr="000E1E10">
        <w:t xml:space="preserve">ервого </w:t>
      </w:r>
      <w:r w:rsidR="000E1E10" w:rsidRPr="000E1E10">
        <w:t>арбитражного апелляционного суда от 17</w:t>
      </w:r>
      <w:r w:rsidR="00381E80">
        <w:t> </w:t>
      </w:r>
      <w:r w:rsidR="000E1E10">
        <w:t xml:space="preserve">октября </w:t>
      </w:r>
      <w:r w:rsidR="000E1E10" w:rsidRPr="000E1E10">
        <w:t xml:space="preserve">2017 </w:t>
      </w:r>
      <w:r w:rsidR="000E1E10">
        <w:t>г. по делу №</w:t>
      </w:r>
      <w:r w:rsidR="000E1E10" w:rsidRPr="000E1E10">
        <w:t xml:space="preserve"> А43-21896/2012</w:t>
      </w:r>
      <w:r w:rsidR="000E1E10">
        <w:t xml:space="preserve">; </w:t>
      </w:r>
      <w:r w:rsidR="00DF5D0B">
        <w:t xml:space="preserve">постановление </w:t>
      </w:r>
      <w:r w:rsidR="000E1E10">
        <w:t>Восьмого арбитражного апелляционного суда от 27 февраля 2019 г. по делу № А70-8287/2018 и др.</w:t>
      </w:r>
    </w:p>
    <w:p w:rsidR="00486458" w:rsidRPr="00924F15" w:rsidRDefault="00486458" w:rsidP="000D19F4">
      <w:pPr>
        <w:spacing w:line="276" w:lineRule="auto"/>
        <w:ind w:firstLine="709"/>
        <w:jc w:val="both"/>
      </w:pPr>
    </w:p>
    <w:p w:rsidR="009B74FE" w:rsidRDefault="009B74FE" w:rsidP="000D19F4">
      <w:pPr>
        <w:spacing w:line="276" w:lineRule="auto"/>
        <w:ind w:firstLine="709"/>
        <w:jc w:val="both"/>
      </w:pPr>
      <w:r>
        <w:t xml:space="preserve">Более того, существует обоснованная судебная практика, предполагающая возможность учета данных ежегодного Исследования при определении размера подлежащих ко взысканию расходов на услуги представителя </w:t>
      </w:r>
      <w:r w:rsidRPr="00924F15">
        <w:rPr>
          <w:u w:val="single"/>
        </w:rPr>
        <w:t>в отсутствие сведений государственной статистики</w:t>
      </w:r>
      <w:r>
        <w:t>:</w:t>
      </w:r>
    </w:p>
    <w:p w:rsidR="009B74FE" w:rsidRPr="00924F15" w:rsidRDefault="009B74FE" w:rsidP="000D19F4">
      <w:pPr>
        <w:spacing w:line="276" w:lineRule="auto"/>
        <w:ind w:firstLine="709"/>
        <w:jc w:val="both"/>
        <w:rPr>
          <w:i/>
        </w:rPr>
      </w:pPr>
      <w:r>
        <w:t>«</w:t>
      </w:r>
      <w:r w:rsidRPr="00924F15">
        <w:rPr>
          <w:i/>
        </w:rPr>
        <w:t xml:space="preserve">Однако в настоящее время Федеральная служба государственной статистики не обладает сведениями о ценах на рынке юридических услуг и, следовательно, не может такие сведения предоставить. </w:t>
      </w:r>
    </w:p>
    <w:p w:rsidR="009B74FE" w:rsidRPr="00924F15" w:rsidRDefault="009B74FE" w:rsidP="000D19F4">
      <w:pPr>
        <w:spacing w:line="276" w:lineRule="auto"/>
        <w:ind w:firstLine="709"/>
        <w:jc w:val="both"/>
        <w:rPr>
          <w:i/>
        </w:rPr>
      </w:pPr>
      <w:r w:rsidRPr="00924F15">
        <w:rPr>
          <w:i/>
        </w:rPr>
        <w:t xml:space="preserve">В то же время, в 2017 году Экспертной группой VETA было проведено исследование стоимости услуг на представительство интересах в судах Москвы и Московской области. По результатам исследования, было выявлено, что средняя стоимость услуг в г. Москва по представительству интересов в арбитражном суде составляет: </w:t>
      </w:r>
    </w:p>
    <w:p w:rsidR="009B74FE" w:rsidRPr="00924F15" w:rsidRDefault="009B74FE" w:rsidP="000D19F4">
      <w:pPr>
        <w:spacing w:line="276" w:lineRule="auto"/>
        <w:ind w:firstLine="709"/>
        <w:jc w:val="both"/>
        <w:rPr>
          <w:i/>
        </w:rPr>
      </w:pPr>
      <w:r w:rsidRPr="00924F15">
        <w:rPr>
          <w:i/>
        </w:rPr>
        <w:t xml:space="preserve">- первая инстанция - 226 250 руб.; </w:t>
      </w:r>
    </w:p>
    <w:p w:rsidR="009B74FE" w:rsidRPr="00924F15" w:rsidRDefault="009B74FE" w:rsidP="000D19F4">
      <w:pPr>
        <w:spacing w:line="276" w:lineRule="auto"/>
        <w:ind w:firstLine="709"/>
        <w:jc w:val="both"/>
        <w:rPr>
          <w:i/>
        </w:rPr>
      </w:pPr>
      <w:r w:rsidRPr="00924F15">
        <w:rPr>
          <w:i/>
        </w:rPr>
        <w:t xml:space="preserve">- апелляционная инстанция - 123 438 руб.; </w:t>
      </w:r>
    </w:p>
    <w:p w:rsidR="009B74FE" w:rsidRPr="00924F15" w:rsidRDefault="009B74FE" w:rsidP="000D19F4">
      <w:pPr>
        <w:spacing w:line="276" w:lineRule="auto"/>
        <w:ind w:firstLine="709"/>
        <w:jc w:val="both"/>
        <w:rPr>
          <w:i/>
        </w:rPr>
      </w:pPr>
      <w:r w:rsidRPr="00924F15">
        <w:rPr>
          <w:i/>
        </w:rPr>
        <w:t xml:space="preserve">- кассационная инстанция - 120 938 руб. </w:t>
      </w:r>
    </w:p>
    <w:p w:rsidR="009B74FE" w:rsidRDefault="009B74FE" w:rsidP="000D19F4">
      <w:pPr>
        <w:spacing w:line="276" w:lineRule="auto"/>
        <w:ind w:firstLine="709"/>
        <w:jc w:val="both"/>
      </w:pPr>
      <w:r w:rsidRPr="00924F15">
        <w:rPr>
          <w:i/>
        </w:rPr>
        <w:t>Учитывая приведенные данные, стоимость услуг, оказываемых ООО «СТЕЙР ЛИГАЛ», ниже средней стоимости юридических услуг в г. Москва, взимаемой за представление интересов в арбитражном суде первой, апелляционной и кассационной инстанций на 30%</w:t>
      </w:r>
      <w:r>
        <w:t>» (Определение Арбитражного суда г. Москвы от 11 октября 2018 г. по делу № А40-15714/17-118141).</w:t>
      </w:r>
    </w:p>
    <w:p w:rsidR="009B74FE" w:rsidRPr="009B74FE" w:rsidRDefault="009B74FE" w:rsidP="000D19F4">
      <w:pPr>
        <w:spacing w:line="276" w:lineRule="auto"/>
        <w:ind w:firstLine="709"/>
        <w:jc w:val="both"/>
      </w:pPr>
    </w:p>
    <w:p w:rsidR="00486458" w:rsidRPr="00F44806" w:rsidRDefault="00486458" w:rsidP="000D19F4">
      <w:pPr>
        <w:spacing w:line="276" w:lineRule="auto"/>
        <w:ind w:firstLine="709"/>
        <w:jc w:val="both"/>
      </w:pPr>
      <w:r>
        <w:t>Как следует</w:t>
      </w:r>
      <w:r w:rsidRPr="00486458">
        <w:t xml:space="preserve"> из ежегодного </w:t>
      </w:r>
      <w:r w:rsidR="00DF5D0B">
        <w:t>И</w:t>
      </w:r>
      <w:r w:rsidR="00DF5D0B" w:rsidRPr="00486458">
        <w:t>сследования</w:t>
      </w:r>
      <w:r w:rsidRPr="00486458">
        <w:t xml:space="preserve">, заявленная сумма судебных расходов по настоящему делу в размере </w:t>
      </w:r>
      <w:r>
        <w:t>____</w:t>
      </w:r>
      <w:r w:rsidRPr="00486458">
        <w:t xml:space="preserve"> является обоснованной и соответствует средней рыночной стоимости услуг в регионе</w:t>
      </w:r>
      <w:r>
        <w:t>.</w:t>
      </w:r>
    </w:p>
    <w:p w:rsidR="0023606F" w:rsidRDefault="0023606F" w:rsidP="000D19F4">
      <w:pPr>
        <w:spacing w:line="276" w:lineRule="auto"/>
        <w:ind w:firstLine="709"/>
        <w:jc w:val="both"/>
      </w:pPr>
      <w:r>
        <w:t>Так, в настоящем деле сумма заявляемых для взыскания судебных расходов на представителя обусловлена тем, что:</w:t>
      </w:r>
    </w:p>
    <w:p w:rsidR="00B44109" w:rsidRDefault="0023606F" w:rsidP="000D19F4">
      <w:pPr>
        <w:spacing w:line="276" w:lineRule="auto"/>
        <w:ind w:firstLine="709"/>
        <w:jc w:val="both"/>
      </w:pPr>
      <w:r>
        <w:t>спор относится к категории ___;</w:t>
      </w:r>
    </w:p>
    <w:p w:rsidR="0023606F" w:rsidRDefault="0023606F" w:rsidP="000D19F4">
      <w:pPr>
        <w:spacing w:line="276" w:lineRule="auto"/>
        <w:ind w:firstLine="709"/>
        <w:jc w:val="both"/>
      </w:pPr>
      <w:r>
        <w:t xml:space="preserve">представитель относится к квалификационной группе (согласно критериям, установленным в Исследовании экспертной группы </w:t>
      </w:r>
      <w:r>
        <w:rPr>
          <w:lang w:val="en-US"/>
        </w:rPr>
        <w:t>VETA</w:t>
      </w:r>
      <w:r>
        <w:t>) ___;</w:t>
      </w:r>
    </w:p>
    <w:p w:rsidR="0023606F" w:rsidRDefault="0023606F" w:rsidP="000D19F4">
      <w:pPr>
        <w:spacing w:line="276" w:lineRule="auto"/>
        <w:ind w:firstLine="709"/>
        <w:jc w:val="both"/>
      </w:pPr>
      <w:r>
        <w:t>сложность дела (количество инстанций __, количество заседаний __, количество томов дела __);</w:t>
      </w:r>
    </w:p>
    <w:p w:rsidR="0023606F" w:rsidRDefault="0023606F" w:rsidP="000D19F4">
      <w:pPr>
        <w:spacing w:line="276" w:lineRule="auto"/>
        <w:ind w:firstLine="709"/>
        <w:jc w:val="both"/>
      </w:pPr>
      <w:r w:rsidRPr="0023606F">
        <w:t>объем оказанных представителем услуг</w:t>
      </w:r>
      <w:r>
        <w:t xml:space="preserve"> ___;</w:t>
      </w:r>
    </w:p>
    <w:p w:rsidR="0023606F" w:rsidRDefault="0023606F" w:rsidP="000D19F4">
      <w:pPr>
        <w:spacing w:line="276" w:lineRule="auto"/>
        <w:ind w:firstLine="709"/>
        <w:jc w:val="both"/>
      </w:pPr>
      <w:r w:rsidRPr="0023606F">
        <w:t xml:space="preserve">время, необходимое на подготовку </w:t>
      </w:r>
      <w:r w:rsidR="003B1323">
        <w:t>представителем</w:t>
      </w:r>
      <w:r>
        <w:t xml:space="preserve"> </w:t>
      </w:r>
      <w:r w:rsidRPr="0023606F">
        <w:t>процессуальных документов</w:t>
      </w:r>
      <w:r>
        <w:t xml:space="preserve"> ___;</w:t>
      </w:r>
    </w:p>
    <w:p w:rsidR="0023606F" w:rsidRDefault="0023606F" w:rsidP="000D19F4">
      <w:pPr>
        <w:spacing w:line="276" w:lineRule="auto"/>
        <w:ind w:firstLine="709"/>
        <w:jc w:val="both"/>
      </w:pPr>
      <w:r>
        <w:t>продолжительность рассмотрения дела ___;</w:t>
      </w:r>
    </w:p>
    <w:p w:rsidR="0023606F" w:rsidRPr="0023606F" w:rsidRDefault="0023606F" w:rsidP="000D19F4">
      <w:pPr>
        <w:spacing w:line="276" w:lineRule="auto"/>
        <w:ind w:firstLine="709"/>
        <w:jc w:val="both"/>
      </w:pPr>
      <w:r>
        <w:t>другие обстоятельства _____.</w:t>
      </w:r>
    </w:p>
    <w:p w:rsidR="000E1E10" w:rsidRDefault="000E1E10" w:rsidP="000D19F4">
      <w:pPr>
        <w:spacing w:line="276" w:lineRule="auto"/>
        <w:ind w:firstLine="709"/>
        <w:jc w:val="both"/>
      </w:pPr>
    </w:p>
    <w:p w:rsidR="000E1E10" w:rsidRDefault="000E1E10" w:rsidP="000D19F4">
      <w:pPr>
        <w:spacing w:line="276" w:lineRule="auto"/>
        <w:ind w:firstLine="709"/>
        <w:jc w:val="both"/>
      </w:pPr>
      <w:r>
        <w:t>На основании изложенного, руководствуясь статьями 41, 110 АПК РФ,</w:t>
      </w:r>
    </w:p>
    <w:p w:rsidR="000E1E10" w:rsidRDefault="000E1E10" w:rsidP="000E1E10">
      <w:pPr>
        <w:spacing w:line="276" w:lineRule="auto"/>
        <w:jc w:val="both"/>
      </w:pPr>
    </w:p>
    <w:p w:rsidR="000E1E10" w:rsidRPr="000E1E10" w:rsidRDefault="000E1E10" w:rsidP="000E1E10">
      <w:pPr>
        <w:spacing w:line="276" w:lineRule="auto"/>
        <w:jc w:val="center"/>
        <w:rPr>
          <w:b/>
        </w:rPr>
      </w:pPr>
      <w:r w:rsidRPr="000E1E10">
        <w:rPr>
          <w:b/>
        </w:rPr>
        <w:lastRenderedPageBreak/>
        <w:t>ПРОСИМ:</w:t>
      </w:r>
    </w:p>
    <w:p w:rsidR="000E1E10" w:rsidRDefault="000E1E10" w:rsidP="000E1E10">
      <w:pPr>
        <w:spacing w:line="276" w:lineRule="auto"/>
        <w:jc w:val="center"/>
      </w:pPr>
    </w:p>
    <w:p w:rsidR="000E1E10" w:rsidRDefault="002C2B95" w:rsidP="00495081">
      <w:pPr>
        <w:spacing w:line="276" w:lineRule="auto"/>
        <w:jc w:val="both"/>
      </w:pPr>
      <w:r w:rsidRPr="002C2B95">
        <w:t>приобщить и исследовать в качестве доказательства по настоящему делу</w:t>
      </w:r>
      <w:r>
        <w:t xml:space="preserve"> </w:t>
      </w:r>
      <w:r w:rsidR="00990082">
        <w:t xml:space="preserve">Исследование </w:t>
      </w:r>
      <w:r w:rsidRPr="002C2B95">
        <w:t>стоимости услуг по представлению интересов в судах</w:t>
      </w:r>
      <w:r w:rsidR="00E0652C">
        <w:t xml:space="preserve"> за </w:t>
      </w:r>
      <w:r w:rsidR="007976AE" w:rsidRPr="007976AE">
        <w:t>__</w:t>
      </w:r>
      <w:r w:rsidR="007976AE">
        <w:t xml:space="preserve"> </w:t>
      </w:r>
      <w:r w:rsidR="00E0652C">
        <w:t>год</w:t>
      </w:r>
      <w:r>
        <w:t xml:space="preserve">, подготовленное экспертной группой </w:t>
      </w:r>
      <w:r>
        <w:rPr>
          <w:lang w:val="en-US"/>
        </w:rPr>
        <w:t>VETA</w:t>
      </w:r>
      <w:r>
        <w:t>.</w:t>
      </w:r>
    </w:p>
    <w:p w:rsidR="002C2B95" w:rsidRDefault="002C2B95" w:rsidP="002C2B95">
      <w:pPr>
        <w:spacing w:line="276" w:lineRule="auto"/>
        <w:ind w:firstLine="709"/>
        <w:jc w:val="both"/>
      </w:pPr>
    </w:p>
    <w:p w:rsidR="002C2B95" w:rsidRDefault="002C2B95" w:rsidP="002C2B95">
      <w:pPr>
        <w:spacing w:line="276" w:lineRule="auto"/>
        <w:ind w:firstLine="709"/>
        <w:jc w:val="both"/>
      </w:pPr>
      <w:r>
        <w:t>Приложения:</w:t>
      </w:r>
    </w:p>
    <w:p w:rsidR="002C2B95" w:rsidRDefault="002C2B95" w:rsidP="002C2B95">
      <w:pPr>
        <w:pStyle w:val="a5"/>
        <w:numPr>
          <w:ilvl w:val="0"/>
          <w:numId w:val="2"/>
        </w:numPr>
        <w:spacing w:line="276" w:lineRule="auto"/>
        <w:jc w:val="both"/>
      </w:pPr>
      <w:r>
        <w:t>Доверенность на представителя, подписавшего настоящее ходатайство.</w:t>
      </w:r>
    </w:p>
    <w:p w:rsidR="002C2B95" w:rsidRDefault="002C2B95" w:rsidP="002C2B95">
      <w:pPr>
        <w:pStyle w:val="a5"/>
        <w:numPr>
          <w:ilvl w:val="0"/>
          <w:numId w:val="2"/>
        </w:numPr>
        <w:spacing w:line="276" w:lineRule="auto"/>
        <w:jc w:val="both"/>
      </w:pPr>
      <w:r>
        <w:t xml:space="preserve">Исследование </w:t>
      </w:r>
      <w:r w:rsidRPr="002C2B95">
        <w:t>стоимости услуг по представлению интересов в судах, подготовленное экспертной группой VETA</w:t>
      </w:r>
      <w:r>
        <w:t>.</w:t>
      </w:r>
    </w:p>
    <w:p w:rsidR="002C2B95" w:rsidRDefault="002C2B95" w:rsidP="002C2B95">
      <w:pPr>
        <w:spacing w:line="276" w:lineRule="auto"/>
        <w:jc w:val="both"/>
      </w:pPr>
    </w:p>
    <w:p w:rsidR="002C2B95" w:rsidRDefault="00DF5D0B" w:rsidP="002C2B95">
      <w:pPr>
        <w:spacing w:line="276" w:lineRule="auto"/>
        <w:jc w:val="both"/>
      </w:pPr>
      <w:r w:rsidRPr="00495081">
        <w:rPr>
          <w:highlight w:val="yellow"/>
        </w:rPr>
        <w:t>__ _____ 20__ г.</w:t>
      </w:r>
    </w:p>
    <w:p w:rsidR="002C2B95" w:rsidRDefault="002C2B95" w:rsidP="002C2B95">
      <w:pPr>
        <w:spacing w:line="276" w:lineRule="auto"/>
        <w:jc w:val="both"/>
      </w:pPr>
    </w:p>
    <w:p w:rsidR="002C2B95" w:rsidRPr="002C2B95" w:rsidRDefault="002C2B95" w:rsidP="002C2B95">
      <w:pPr>
        <w:spacing w:line="276" w:lineRule="auto"/>
        <w:jc w:val="both"/>
      </w:pPr>
      <w:r>
        <w:t>Представитель по доверенности</w:t>
      </w:r>
      <w:r>
        <w:tab/>
      </w:r>
      <w:r>
        <w:tab/>
      </w:r>
      <w:r>
        <w:tab/>
      </w:r>
      <w:r>
        <w:tab/>
      </w:r>
      <w:r>
        <w:tab/>
        <w:t>__________/                    /</w:t>
      </w:r>
    </w:p>
    <w:sectPr w:rsidR="002C2B95" w:rsidRPr="002C2B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D65" w:rsidRDefault="00027D65" w:rsidP="00DF5D0B">
      <w:r>
        <w:separator/>
      </w:r>
    </w:p>
  </w:endnote>
  <w:endnote w:type="continuationSeparator" w:id="0">
    <w:p w:rsidR="00027D65" w:rsidRDefault="00027D65" w:rsidP="00DF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D65" w:rsidRDefault="00027D65" w:rsidP="00DF5D0B">
      <w:r>
        <w:separator/>
      </w:r>
    </w:p>
  </w:footnote>
  <w:footnote w:type="continuationSeparator" w:id="0">
    <w:p w:rsidR="00027D65" w:rsidRDefault="00027D65" w:rsidP="00DF5D0B">
      <w:r>
        <w:continuationSeparator/>
      </w:r>
    </w:p>
  </w:footnote>
  <w:footnote w:id="1">
    <w:p w:rsidR="00DF5D0B" w:rsidRDefault="00DF5D0B" w:rsidP="00DF5D0B">
      <w:pPr>
        <w:pStyle w:val="ae"/>
        <w:ind w:firstLine="709"/>
      </w:pPr>
      <w:r>
        <w:rPr>
          <w:rStyle w:val="af0"/>
        </w:rPr>
        <w:footnoteRef/>
      </w:r>
      <w:r>
        <w:t xml:space="preserve"> </w:t>
      </w:r>
      <w:hyperlink r:id="rId1" w:history="1">
        <w:r>
          <w:rPr>
            <w:rStyle w:val="a3"/>
          </w:rPr>
          <w:t>http://www.legal-research.ru/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4C7D"/>
    <w:multiLevelType w:val="hybridMultilevel"/>
    <w:tmpl w:val="98B87270"/>
    <w:lvl w:ilvl="0" w:tplc="22EAE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7E3C98"/>
    <w:multiLevelType w:val="hybridMultilevel"/>
    <w:tmpl w:val="D9182F08"/>
    <w:lvl w:ilvl="0" w:tplc="715EB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CA8"/>
    <w:rsid w:val="00027D65"/>
    <w:rsid w:val="000A2D25"/>
    <w:rsid w:val="000D19F4"/>
    <w:rsid w:val="000E1E10"/>
    <w:rsid w:val="00127047"/>
    <w:rsid w:val="00172CA8"/>
    <w:rsid w:val="0023606F"/>
    <w:rsid w:val="002C2B95"/>
    <w:rsid w:val="00330FCA"/>
    <w:rsid w:val="00381E80"/>
    <w:rsid w:val="003B1323"/>
    <w:rsid w:val="00407558"/>
    <w:rsid w:val="00425B51"/>
    <w:rsid w:val="00486458"/>
    <w:rsid w:val="00495081"/>
    <w:rsid w:val="004A279B"/>
    <w:rsid w:val="004B4293"/>
    <w:rsid w:val="005C57AD"/>
    <w:rsid w:val="007976AE"/>
    <w:rsid w:val="00924F15"/>
    <w:rsid w:val="00980C17"/>
    <w:rsid w:val="00990082"/>
    <w:rsid w:val="009B74FE"/>
    <w:rsid w:val="00A06832"/>
    <w:rsid w:val="00A15F81"/>
    <w:rsid w:val="00AD18AB"/>
    <w:rsid w:val="00B44109"/>
    <w:rsid w:val="00D35F7F"/>
    <w:rsid w:val="00D37283"/>
    <w:rsid w:val="00D97BB1"/>
    <w:rsid w:val="00DF5D0B"/>
    <w:rsid w:val="00E0652C"/>
    <w:rsid w:val="00E1753B"/>
    <w:rsid w:val="00F44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46C5"/>
  <w15:docId w15:val="{F9092EA1-452E-4D76-8EF0-DF90490E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C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2CA8"/>
    <w:rPr>
      <w:color w:val="0000FF"/>
      <w:u w:val="single"/>
    </w:rPr>
  </w:style>
  <w:style w:type="table" w:styleId="a4">
    <w:name w:val="Table Grid"/>
    <w:basedOn w:val="a1"/>
    <w:uiPriority w:val="59"/>
    <w:rsid w:val="00172C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E1E10"/>
    <w:pPr>
      <w:ind w:left="720"/>
      <w:contextualSpacing/>
    </w:pPr>
  </w:style>
  <w:style w:type="character" w:styleId="a6">
    <w:name w:val="annotation reference"/>
    <w:basedOn w:val="a0"/>
    <w:uiPriority w:val="99"/>
    <w:semiHidden/>
    <w:unhideWhenUsed/>
    <w:rsid w:val="00127047"/>
    <w:rPr>
      <w:sz w:val="16"/>
      <w:szCs w:val="16"/>
    </w:rPr>
  </w:style>
  <w:style w:type="paragraph" w:styleId="a7">
    <w:name w:val="annotation text"/>
    <w:basedOn w:val="a"/>
    <w:link w:val="a8"/>
    <w:uiPriority w:val="99"/>
    <w:semiHidden/>
    <w:unhideWhenUsed/>
    <w:rsid w:val="00127047"/>
    <w:rPr>
      <w:sz w:val="20"/>
      <w:szCs w:val="20"/>
    </w:rPr>
  </w:style>
  <w:style w:type="character" w:customStyle="1" w:styleId="a8">
    <w:name w:val="Текст примечания Знак"/>
    <w:basedOn w:val="a0"/>
    <w:link w:val="a7"/>
    <w:uiPriority w:val="99"/>
    <w:semiHidden/>
    <w:rsid w:val="00127047"/>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27047"/>
    <w:rPr>
      <w:b/>
      <w:bCs/>
    </w:rPr>
  </w:style>
  <w:style w:type="character" w:customStyle="1" w:styleId="aa">
    <w:name w:val="Тема примечания Знак"/>
    <w:basedOn w:val="a8"/>
    <w:link w:val="a9"/>
    <w:uiPriority w:val="99"/>
    <w:semiHidden/>
    <w:rsid w:val="00127047"/>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127047"/>
    <w:rPr>
      <w:rFonts w:ascii="Tahoma" w:hAnsi="Tahoma" w:cs="Tahoma"/>
      <w:sz w:val="16"/>
      <w:szCs w:val="16"/>
    </w:rPr>
  </w:style>
  <w:style w:type="character" w:customStyle="1" w:styleId="ac">
    <w:name w:val="Текст выноски Знак"/>
    <w:basedOn w:val="a0"/>
    <w:link w:val="ab"/>
    <w:uiPriority w:val="99"/>
    <w:semiHidden/>
    <w:rsid w:val="00127047"/>
    <w:rPr>
      <w:rFonts w:ascii="Tahoma" w:eastAsia="Times New Roman" w:hAnsi="Tahoma" w:cs="Tahoma"/>
      <w:sz w:val="16"/>
      <w:szCs w:val="16"/>
      <w:lang w:eastAsia="ru-RU"/>
    </w:rPr>
  </w:style>
  <w:style w:type="character" w:styleId="ad">
    <w:name w:val="FollowedHyperlink"/>
    <w:basedOn w:val="a0"/>
    <w:uiPriority w:val="99"/>
    <w:semiHidden/>
    <w:unhideWhenUsed/>
    <w:rsid w:val="00DF5D0B"/>
    <w:rPr>
      <w:color w:val="800080" w:themeColor="followedHyperlink"/>
      <w:u w:val="single"/>
    </w:rPr>
  </w:style>
  <w:style w:type="paragraph" w:styleId="ae">
    <w:name w:val="footnote text"/>
    <w:basedOn w:val="a"/>
    <w:link w:val="af"/>
    <w:uiPriority w:val="99"/>
    <w:semiHidden/>
    <w:unhideWhenUsed/>
    <w:rsid w:val="00DF5D0B"/>
    <w:rPr>
      <w:sz w:val="20"/>
      <w:szCs w:val="20"/>
    </w:rPr>
  </w:style>
  <w:style w:type="character" w:customStyle="1" w:styleId="af">
    <w:name w:val="Текст сноски Знак"/>
    <w:basedOn w:val="a0"/>
    <w:link w:val="ae"/>
    <w:uiPriority w:val="99"/>
    <w:semiHidden/>
    <w:rsid w:val="00DF5D0B"/>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F5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al-resear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4271-7C1A-4E78-8039-AFD5BB2F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MSI</cp:lastModifiedBy>
  <cp:revision>4</cp:revision>
  <dcterms:created xsi:type="dcterms:W3CDTF">2019-08-08T13:26:00Z</dcterms:created>
  <dcterms:modified xsi:type="dcterms:W3CDTF">2019-08-08T14:31:00Z</dcterms:modified>
</cp:coreProperties>
</file>